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9B260" w14:textId="1838925B" w:rsidR="00A15C2E" w:rsidRPr="007B1AB9" w:rsidRDefault="00A15C2E" w:rsidP="00EF102B">
      <w:pPr>
        <w:pStyle w:val="Heading1"/>
      </w:pPr>
      <w:r w:rsidRPr="007B1AB9">
        <w:t>Planning and Environment Act 1987</w:t>
      </w:r>
    </w:p>
    <w:p w14:paraId="127CFD92" w14:textId="38DA0153" w:rsidR="00A15C2E" w:rsidRPr="007B1AB9" w:rsidRDefault="00203910" w:rsidP="00A15C2E">
      <w:pPr>
        <w:pStyle w:val="Heading1"/>
        <w:rPr>
          <w:color w:val="000000" w:themeColor="text1"/>
        </w:rPr>
      </w:pPr>
      <w:r w:rsidRPr="007B1AB9">
        <w:rPr>
          <w:color w:val="000000" w:themeColor="text1"/>
        </w:rPr>
        <w:t>Greater Bendigo</w:t>
      </w:r>
      <w:r w:rsidR="00A15C2E" w:rsidRPr="007B1AB9">
        <w:rPr>
          <w:color w:val="000000" w:themeColor="text1"/>
        </w:rPr>
        <w:t xml:space="preserve"> Planning Scheme</w:t>
      </w:r>
    </w:p>
    <w:p w14:paraId="601884B5" w14:textId="17AF2684" w:rsidR="00A15C2E" w:rsidRPr="007B1AB9" w:rsidRDefault="00A15C2E" w:rsidP="00A15C2E">
      <w:pPr>
        <w:pStyle w:val="Heading1"/>
        <w:rPr>
          <w:color w:val="000000" w:themeColor="text1"/>
        </w:rPr>
      </w:pPr>
      <w:r w:rsidRPr="007B1AB9">
        <w:rPr>
          <w:color w:val="000000" w:themeColor="text1"/>
        </w:rPr>
        <w:t>Amendment C</w:t>
      </w:r>
      <w:r w:rsidR="00203910" w:rsidRPr="007B1AB9">
        <w:rPr>
          <w:color w:val="000000" w:themeColor="text1"/>
        </w:rPr>
        <w:t>279</w:t>
      </w:r>
      <w:r w:rsidR="00A37979">
        <w:rPr>
          <w:color w:val="000000" w:themeColor="text1"/>
        </w:rPr>
        <w:t>gben</w:t>
      </w:r>
    </w:p>
    <w:p w14:paraId="719D4304" w14:textId="1652A09A" w:rsidR="00A15C2E" w:rsidRPr="00A15C2E" w:rsidRDefault="00A15C2E" w:rsidP="00A15C2E">
      <w:pPr>
        <w:pStyle w:val="Heading1"/>
      </w:pPr>
      <w:r w:rsidRPr="00A15C2E">
        <w:t>Explanatory Report</w:t>
      </w:r>
    </w:p>
    <w:p w14:paraId="3920E2A5" w14:textId="77777777" w:rsidR="00A15C2E" w:rsidRPr="00A15C2E" w:rsidRDefault="00A15C2E" w:rsidP="00224E35">
      <w:pPr>
        <w:pStyle w:val="Heading2"/>
      </w:pPr>
      <w:r w:rsidRPr="00A15C2E">
        <w:t>Overview</w:t>
      </w:r>
    </w:p>
    <w:p w14:paraId="27AC8096" w14:textId="59AE3DC4" w:rsidR="00D6560F" w:rsidRDefault="00442B3A" w:rsidP="00D6560F">
      <w:r w:rsidRPr="00036BE9">
        <w:t xml:space="preserve">The amendment implements the recommendations of the </w:t>
      </w:r>
      <w:r w:rsidR="0076033C" w:rsidRPr="0034602D">
        <w:rPr>
          <w:rFonts w:cs="Arial"/>
          <w:i/>
          <w:szCs w:val="24"/>
        </w:rPr>
        <w:t xml:space="preserve">Bendigo City Centre Plan </w:t>
      </w:r>
      <w:r w:rsidR="0076033C">
        <w:rPr>
          <w:rFonts w:cs="Arial"/>
          <w:szCs w:val="24"/>
        </w:rPr>
        <w:t xml:space="preserve">(2020), the </w:t>
      </w:r>
      <w:r w:rsidR="0076033C">
        <w:rPr>
          <w:rFonts w:cs="Arial"/>
          <w:i/>
          <w:szCs w:val="24"/>
        </w:rPr>
        <w:t xml:space="preserve">Bendigo City Centre Urban Design Framework </w:t>
      </w:r>
      <w:r w:rsidR="0076033C">
        <w:rPr>
          <w:rFonts w:cs="Arial"/>
          <w:szCs w:val="24"/>
        </w:rPr>
        <w:t xml:space="preserve">(2022), the </w:t>
      </w:r>
      <w:r w:rsidR="0076033C">
        <w:rPr>
          <w:rFonts w:cs="Arial"/>
          <w:i/>
          <w:szCs w:val="24"/>
        </w:rPr>
        <w:t xml:space="preserve">Bendigo City Centre Heritage Stage 2: Precincts 2022 </w:t>
      </w:r>
      <w:r w:rsidR="0076033C">
        <w:rPr>
          <w:rFonts w:cs="Arial"/>
          <w:szCs w:val="24"/>
        </w:rPr>
        <w:t xml:space="preserve">(2022) and the </w:t>
      </w:r>
      <w:r w:rsidR="0076033C">
        <w:rPr>
          <w:rFonts w:cs="Arial"/>
          <w:i/>
          <w:szCs w:val="24"/>
        </w:rPr>
        <w:t xml:space="preserve">Bendigo City Centre Parking Futures Action Plan </w:t>
      </w:r>
      <w:r w:rsidR="0076033C">
        <w:rPr>
          <w:rFonts w:cs="Arial"/>
          <w:szCs w:val="24"/>
        </w:rPr>
        <w:t xml:space="preserve">(2020) </w:t>
      </w:r>
      <w:r w:rsidRPr="00036BE9">
        <w:t>by rezoning most of the land within the Bendigo City Centre to the Activity Centre Zone</w:t>
      </w:r>
      <w:r w:rsidR="007670A1" w:rsidRPr="00036BE9">
        <w:t xml:space="preserve"> (</w:t>
      </w:r>
      <w:r w:rsidR="00042EB3" w:rsidRPr="00036BE9">
        <w:t>Schedule 1)</w:t>
      </w:r>
      <w:r w:rsidR="00443625">
        <w:t>;</w:t>
      </w:r>
      <w:r w:rsidR="00042EB3" w:rsidRPr="00036BE9">
        <w:t xml:space="preserve"> </w:t>
      </w:r>
      <w:r w:rsidR="00D6560F" w:rsidRPr="00036BE9">
        <w:t xml:space="preserve">amending and updating heritage controls; amending parking controls (including deletion of minimum car parking requirements </w:t>
      </w:r>
      <w:r w:rsidR="00734E92" w:rsidRPr="00036BE9">
        <w:t>in</w:t>
      </w:r>
      <w:r w:rsidR="00D6560F" w:rsidRPr="00036BE9">
        <w:t xml:space="preserve"> the city centre); amending </w:t>
      </w:r>
      <w:r w:rsidR="00415C68">
        <w:t xml:space="preserve">local policy on </w:t>
      </w:r>
      <w:r w:rsidR="00BD0E61" w:rsidRPr="00036BE9">
        <w:t>the Bendigo City Centre</w:t>
      </w:r>
      <w:r w:rsidR="00D6560F" w:rsidRPr="00036BE9">
        <w:t xml:space="preserve">; applying the Environmental Audit Overlay to potentially contaminated land; and making </w:t>
      </w:r>
      <w:r w:rsidR="00445698">
        <w:t>related</w:t>
      </w:r>
      <w:r w:rsidR="00D6560F" w:rsidRPr="00036BE9">
        <w:t xml:space="preserve"> changes to other provisions.</w:t>
      </w:r>
    </w:p>
    <w:p w14:paraId="4A462F3A" w14:textId="77777777" w:rsidR="00A15C2E" w:rsidRPr="00A15C2E" w:rsidRDefault="00A15C2E" w:rsidP="003A4991">
      <w:pPr>
        <w:pStyle w:val="Heading3"/>
      </w:pPr>
      <w:r w:rsidRPr="00A15C2E">
        <w:t>Where you may inspect this amendment</w:t>
      </w:r>
    </w:p>
    <w:p w14:paraId="10610242" w14:textId="77777777" w:rsidR="00FE0160" w:rsidRDefault="00FE0160" w:rsidP="00FE0160">
      <w:r>
        <w:t xml:space="preserve">The amendment can be inspected free of charge at the </w:t>
      </w:r>
      <w:r w:rsidRPr="002A5DF1">
        <w:t>City of Greater Bendigo</w:t>
      </w:r>
      <w:r>
        <w:t xml:space="preserve"> website </w:t>
      </w:r>
      <w:hyperlink r:id="rId13" w:history="1">
        <w:r w:rsidRPr="00103CC0">
          <w:rPr>
            <w:rStyle w:val="Hyperlink"/>
          </w:rPr>
          <w:t>https://www.bendigo.vic.gov.au/building-and-business/planning/planning-scheme-amendments</w:t>
        </w:r>
      </w:hyperlink>
      <w:r>
        <w:t xml:space="preserve"> </w:t>
      </w:r>
    </w:p>
    <w:p w14:paraId="74A062D5" w14:textId="77777777" w:rsidR="00FE0160" w:rsidRDefault="00FE0160" w:rsidP="00FE0160">
      <w:r>
        <w:t xml:space="preserve">Or by contacting 1300 002 642 or email </w:t>
      </w:r>
      <w:hyperlink r:id="rId14" w:history="1">
        <w:r w:rsidRPr="00103CC0">
          <w:rPr>
            <w:rStyle w:val="Hyperlink"/>
          </w:rPr>
          <w:t>strategic.planning@bendigo.vic.gov.au</w:t>
        </w:r>
      </w:hyperlink>
      <w:r>
        <w:t xml:space="preserve"> to arrange a time to view the amendment documentation at </w:t>
      </w:r>
      <w:proofErr w:type="spellStart"/>
      <w:r>
        <w:t>Galkangu</w:t>
      </w:r>
      <w:proofErr w:type="spellEnd"/>
      <w:r>
        <w:t xml:space="preserve"> - Bendigo </w:t>
      </w:r>
      <w:proofErr w:type="spellStart"/>
      <w:r>
        <w:t>GovHub</w:t>
      </w:r>
      <w:proofErr w:type="spellEnd"/>
      <w:r>
        <w:t xml:space="preserve"> 189-229 Lyttleton Terrace, Bendigo. </w:t>
      </w:r>
    </w:p>
    <w:p w14:paraId="47FC82CF" w14:textId="77777777" w:rsidR="00FE0160" w:rsidRDefault="00FE0160" w:rsidP="00FE0160">
      <w:r>
        <w:t xml:space="preserve">The amendment can also be inspected free of charge at the Department of Transport and Planning website at </w:t>
      </w:r>
      <w:hyperlink r:id="rId15" w:history="1">
        <w:r w:rsidRPr="000C0726">
          <w:rPr>
            <w:rStyle w:val="Hyperlink"/>
          </w:rPr>
          <w:t>http://www.planning.vic.gov.au/public-inspection</w:t>
        </w:r>
      </w:hyperlink>
      <w:r>
        <w:t xml:space="preserve"> or by contacting the office on 1800 789 386 to arrange a time to view the amendment documentation.</w:t>
      </w:r>
    </w:p>
    <w:p w14:paraId="265D3FD5" w14:textId="77777777" w:rsidR="00A15C2E" w:rsidRDefault="00A15C2E" w:rsidP="003A4991">
      <w:pPr>
        <w:pStyle w:val="Heading3"/>
      </w:pPr>
      <w:r>
        <w:t>Submissions</w:t>
      </w:r>
    </w:p>
    <w:p w14:paraId="0900ECDB" w14:textId="2952EAEE" w:rsidR="00442B3A" w:rsidRDefault="00442B3A" w:rsidP="00442B3A">
      <w:pPr>
        <w:jc w:val="both"/>
        <w:rPr>
          <w:rFonts w:cs="Arial"/>
          <w:b/>
          <w:bCs/>
          <w:szCs w:val="24"/>
        </w:rPr>
      </w:pPr>
      <w:r w:rsidRPr="00FE0160">
        <w:rPr>
          <w:rFonts w:cs="Arial"/>
          <w:szCs w:val="24"/>
        </w:rPr>
        <w:t>Any person who may be affected by the amendment may</w:t>
      </w:r>
      <w:r w:rsidRPr="00FE0160">
        <w:rPr>
          <w:rFonts w:cs="Arial"/>
          <w:color w:val="A6A6A6"/>
          <w:szCs w:val="24"/>
        </w:rPr>
        <w:t xml:space="preserve"> </w:t>
      </w:r>
      <w:r w:rsidRPr="00FE0160">
        <w:rPr>
          <w:rFonts w:cs="Arial"/>
          <w:szCs w:val="24"/>
        </w:rPr>
        <w:t xml:space="preserve">make a submission to the planning authority.  Submissions about the amendment must be received by </w:t>
      </w:r>
      <w:r w:rsidR="006E44E6">
        <w:rPr>
          <w:rFonts w:cs="Arial"/>
          <w:szCs w:val="24"/>
        </w:rPr>
        <w:t xml:space="preserve">Monday </w:t>
      </w:r>
      <w:r w:rsidR="006E44E6">
        <w:rPr>
          <w:rFonts w:cs="Arial"/>
          <w:b/>
          <w:bCs/>
          <w:szCs w:val="24"/>
        </w:rPr>
        <w:t xml:space="preserve">13 July 2026. </w:t>
      </w:r>
    </w:p>
    <w:p w14:paraId="3049489F" w14:textId="3D67F100" w:rsidR="00DA565B" w:rsidRDefault="00DA565B" w:rsidP="00DA565B">
      <w:r>
        <w:t>A submission must be sent to:</w:t>
      </w:r>
      <w:r w:rsidRPr="007B5E05">
        <w:rPr>
          <w:color w:val="44546A" w:themeColor="text2"/>
          <w:highlight w:val="lightGray"/>
        </w:rPr>
        <w:t xml:space="preserve"> </w:t>
      </w:r>
    </w:p>
    <w:p w14:paraId="47A4B449" w14:textId="77777777" w:rsidR="00FE0160" w:rsidRDefault="00FE0160" w:rsidP="00FE0160">
      <w:pPr>
        <w:spacing w:before="0" w:after="0"/>
        <w:jc w:val="both"/>
      </w:pPr>
      <w:r>
        <w:t xml:space="preserve">City of Greater Bendigo </w:t>
      </w:r>
    </w:p>
    <w:p w14:paraId="14A541D8" w14:textId="77777777" w:rsidR="00FE0160" w:rsidRDefault="00FE0160" w:rsidP="00FE0160">
      <w:pPr>
        <w:spacing w:before="0" w:after="0"/>
        <w:jc w:val="both"/>
      </w:pPr>
      <w:r w:rsidRPr="00B82E4A">
        <w:rPr>
          <w:b/>
          <w:bCs/>
        </w:rPr>
        <w:t>By post</w:t>
      </w:r>
      <w:r>
        <w:t>: PO 733, Bendigo VIC 3552</w:t>
      </w:r>
    </w:p>
    <w:p w14:paraId="22DBAF79" w14:textId="77777777" w:rsidR="00FE0160" w:rsidRPr="00F54744" w:rsidRDefault="00FE0160" w:rsidP="00FE0160">
      <w:pPr>
        <w:spacing w:before="0" w:after="0"/>
        <w:jc w:val="both"/>
        <w:rPr>
          <w:b/>
          <w:bCs/>
        </w:rPr>
      </w:pPr>
      <w:r w:rsidRPr="00F54744">
        <w:rPr>
          <w:b/>
          <w:bCs/>
        </w:rPr>
        <w:lastRenderedPageBreak/>
        <w:t xml:space="preserve">In person: </w:t>
      </w:r>
      <w:r w:rsidRPr="00B12114">
        <w:t>189-229 Lyttleton Terrace, Bendigo</w:t>
      </w:r>
    </w:p>
    <w:p w14:paraId="5EEC26B6" w14:textId="77777777" w:rsidR="00FE0160" w:rsidRDefault="00FE0160" w:rsidP="00FE0160">
      <w:pPr>
        <w:pStyle w:val="Heading3"/>
      </w:pPr>
      <w:r w:rsidRPr="00B12114">
        <w:t>By email:</w:t>
      </w:r>
      <w:r>
        <w:t xml:space="preserve"> </w:t>
      </w:r>
      <w:hyperlink r:id="rId16" w:history="1">
        <w:r w:rsidRPr="00103CC0">
          <w:rPr>
            <w:rStyle w:val="Hyperlink"/>
          </w:rPr>
          <w:t>strategic.planning@bendigo.vic.gov.au</w:t>
        </w:r>
      </w:hyperlink>
    </w:p>
    <w:p w14:paraId="6561E783" w14:textId="65B4AA0A" w:rsidR="00A15C2E" w:rsidRDefault="00A15C2E" w:rsidP="00FE0160">
      <w:pPr>
        <w:pStyle w:val="Heading3"/>
      </w:pPr>
      <w:r>
        <w:t>Panel hearing dates</w:t>
      </w:r>
    </w:p>
    <w:p w14:paraId="060AB3CE" w14:textId="56906837" w:rsidR="00A15C2E" w:rsidRDefault="00A15C2E" w:rsidP="00A15C2E">
      <w:r>
        <w:t>In accordance with clause 4(2) of Ministerial Direction No.</w:t>
      </w:r>
      <w:r w:rsidR="006236BE">
        <w:t xml:space="preserve"> </w:t>
      </w:r>
      <w:r>
        <w:t>15 the following panel hearing dates have been set for this amendment:</w:t>
      </w:r>
    </w:p>
    <w:p w14:paraId="63A095B7" w14:textId="6E87BF1C" w:rsidR="00A15C2E" w:rsidRPr="006E44E6" w:rsidRDefault="00546F39" w:rsidP="00546F39">
      <w:pPr>
        <w:pStyle w:val="Bulletlist"/>
      </w:pPr>
      <w:r>
        <w:t>D</w:t>
      </w:r>
      <w:r w:rsidR="00A15C2E">
        <w:t xml:space="preserve">irections hearing: </w:t>
      </w:r>
      <w:r w:rsidR="006E44E6" w:rsidRPr="006E44E6">
        <w:t>Week beginning 12 October 2026</w:t>
      </w:r>
    </w:p>
    <w:p w14:paraId="6876E39F" w14:textId="6772723E" w:rsidR="00E93AF6" w:rsidRPr="006E44E6" w:rsidRDefault="00546F39" w:rsidP="00E93AF6">
      <w:pPr>
        <w:pStyle w:val="Bulletlist"/>
      </w:pPr>
      <w:r w:rsidRPr="006E44E6">
        <w:t>P</w:t>
      </w:r>
      <w:r w:rsidR="00A15C2E" w:rsidRPr="006E44E6">
        <w:t xml:space="preserve">anel hearing: </w:t>
      </w:r>
      <w:r w:rsidR="006E44E6" w:rsidRPr="006E44E6">
        <w:t>Week beginning 9 November 2026</w:t>
      </w:r>
    </w:p>
    <w:p w14:paraId="659921EF" w14:textId="77777777" w:rsidR="00A15C2E" w:rsidRDefault="00A15C2E" w:rsidP="00224E35">
      <w:pPr>
        <w:pStyle w:val="Heading2"/>
      </w:pPr>
      <w:r>
        <w:t>Details of the amendment</w:t>
      </w:r>
    </w:p>
    <w:p w14:paraId="3EB7B06E" w14:textId="77777777" w:rsidR="00A15C2E" w:rsidRDefault="00A15C2E" w:rsidP="003A4991">
      <w:pPr>
        <w:pStyle w:val="Heading3"/>
      </w:pPr>
      <w:r>
        <w:t>Who is the planning authority?</w:t>
      </w:r>
    </w:p>
    <w:p w14:paraId="56C7A5DA" w14:textId="77777777" w:rsidR="0034602D" w:rsidRPr="00FC247F" w:rsidRDefault="0034602D" w:rsidP="00FC247F">
      <w:r w:rsidRPr="00FC247F">
        <w:t>The amendment has been prepared by the Greater Bendigo City Council, which is the planning authority for this amendment.</w:t>
      </w:r>
    </w:p>
    <w:p w14:paraId="44327416" w14:textId="77777777" w:rsidR="0034602D" w:rsidRPr="00FC247F" w:rsidRDefault="0034602D" w:rsidP="00FC247F">
      <w:r w:rsidRPr="00FC247F">
        <w:t>The amendment has been made at the request of the Greater Bendigo City Council.</w:t>
      </w:r>
    </w:p>
    <w:p w14:paraId="35BEF9A5" w14:textId="77777777" w:rsidR="00A15C2E" w:rsidRDefault="00A15C2E" w:rsidP="003A4991">
      <w:pPr>
        <w:pStyle w:val="Heading3"/>
      </w:pPr>
      <w:r>
        <w:t>Land affected by the amendment</w:t>
      </w:r>
    </w:p>
    <w:p w14:paraId="201E1630" w14:textId="31143025" w:rsidR="001209CC" w:rsidRPr="00FC247F" w:rsidRDefault="0034602D" w:rsidP="00FC247F">
      <w:r w:rsidRPr="00FC247F">
        <w:t xml:space="preserve">The amendment applies to </w:t>
      </w:r>
      <w:r w:rsidR="00AE27C4">
        <w:t xml:space="preserve">121.7 </w:t>
      </w:r>
      <w:r w:rsidR="00140D23">
        <w:t>hectares</w:t>
      </w:r>
      <w:r w:rsidR="006F7603" w:rsidRPr="00FC247F">
        <w:t xml:space="preserve"> of land within </w:t>
      </w:r>
      <w:r w:rsidRPr="00FC247F">
        <w:t xml:space="preserve">the Bendigo City Centre. </w:t>
      </w:r>
    </w:p>
    <w:p w14:paraId="050F2917" w14:textId="1328D272" w:rsidR="0034602D" w:rsidRPr="00FC247F" w:rsidRDefault="0034602D" w:rsidP="00FC247F">
      <w:r w:rsidRPr="00FC247F">
        <w:t>The land which is specifically subject to this amendment is identified in Map 1 below.</w:t>
      </w:r>
    </w:p>
    <w:p w14:paraId="2F3B0E01" w14:textId="4CCEC6C0" w:rsidR="006E44E6" w:rsidRDefault="0034602D" w:rsidP="0034602D">
      <w:pPr>
        <w:jc w:val="both"/>
        <w:rPr>
          <w:sz w:val="22"/>
        </w:rPr>
      </w:pPr>
      <w:r w:rsidRPr="0034602D">
        <w:rPr>
          <w:rFonts w:cs="Arial"/>
          <w:i/>
          <w:sz w:val="22"/>
        </w:rPr>
        <w:t>Map 1 – Land affected by the amendment</w:t>
      </w:r>
      <w:r w:rsidRPr="0034602D">
        <w:rPr>
          <w:sz w:val="22"/>
        </w:rPr>
        <w:t xml:space="preserve"> </w:t>
      </w:r>
    </w:p>
    <w:p w14:paraId="793D4BB4" w14:textId="366832E8" w:rsidR="006E44E6" w:rsidRPr="0034602D" w:rsidRDefault="003520A0" w:rsidP="0034602D">
      <w:pPr>
        <w:jc w:val="both"/>
        <w:rPr>
          <w:sz w:val="22"/>
        </w:rPr>
      </w:pPr>
      <w:r w:rsidRPr="003520A0">
        <w:rPr>
          <w:noProof/>
          <w:sz w:val="22"/>
        </w:rPr>
        <w:drawing>
          <wp:inline distT="0" distB="0" distL="0" distR="0" wp14:anchorId="5675CB57" wp14:editId="21B7616A">
            <wp:extent cx="2600325" cy="3663382"/>
            <wp:effectExtent l="0" t="0" r="0" b="0"/>
            <wp:docPr id="93510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10362" name=""/>
                    <pic:cNvPicPr/>
                  </pic:nvPicPr>
                  <pic:blipFill>
                    <a:blip r:embed="rId17"/>
                    <a:stretch>
                      <a:fillRect/>
                    </a:stretch>
                  </pic:blipFill>
                  <pic:spPr>
                    <a:xfrm>
                      <a:off x="0" y="0"/>
                      <a:ext cx="2604977" cy="3669936"/>
                    </a:xfrm>
                    <a:prstGeom prst="rect">
                      <a:avLst/>
                    </a:prstGeom>
                  </pic:spPr>
                </pic:pic>
              </a:graphicData>
            </a:graphic>
          </wp:inline>
        </w:drawing>
      </w:r>
    </w:p>
    <w:p w14:paraId="18CA5E05" w14:textId="1D025984" w:rsidR="0034602D" w:rsidRDefault="0034602D" w:rsidP="00A15C2E"/>
    <w:p w14:paraId="210AD7DF" w14:textId="77777777" w:rsidR="00A15C2E" w:rsidRDefault="00A15C2E" w:rsidP="003A4991">
      <w:pPr>
        <w:pStyle w:val="Heading3"/>
      </w:pPr>
      <w:r>
        <w:t>What the amendment does</w:t>
      </w:r>
      <w:bookmarkStart w:id="0" w:name="_Hlk170510892"/>
    </w:p>
    <w:p w14:paraId="02447026" w14:textId="6929C5B1" w:rsidR="0034602D" w:rsidRDefault="0034602D" w:rsidP="0034602D">
      <w:pPr>
        <w:rPr>
          <w:rFonts w:cs="Arial"/>
          <w:szCs w:val="24"/>
        </w:rPr>
      </w:pPr>
      <w:r w:rsidRPr="004352FC">
        <w:t xml:space="preserve">The amendment proposes to implement the Bendigo City Centre Plan </w:t>
      </w:r>
      <w:r w:rsidR="00FC0348" w:rsidRPr="004352FC">
        <w:t>(2020)</w:t>
      </w:r>
      <w:r w:rsidR="00884813" w:rsidRPr="004352FC">
        <w:t>, the</w:t>
      </w:r>
      <w:r w:rsidR="00884813">
        <w:rPr>
          <w:rFonts w:cs="Arial"/>
          <w:szCs w:val="24"/>
        </w:rPr>
        <w:t xml:space="preserve"> </w:t>
      </w:r>
      <w:r w:rsidR="00884813">
        <w:rPr>
          <w:rFonts w:cs="Arial"/>
          <w:i/>
          <w:szCs w:val="24"/>
        </w:rPr>
        <w:t xml:space="preserve">Bendigo City Centre Urban Design Framework </w:t>
      </w:r>
      <w:r w:rsidR="00884813">
        <w:rPr>
          <w:rFonts w:cs="Arial"/>
          <w:szCs w:val="24"/>
        </w:rPr>
        <w:t>(</w:t>
      </w:r>
      <w:r w:rsidR="007C70C9">
        <w:rPr>
          <w:rFonts w:cs="Arial"/>
          <w:szCs w:val="24"/>
        </w:rPr>
        <w:t xml:space="preserve">2022), </w:t>
      </w:r>
      <w:r w:rsidR="002631D3">
        <w:rPr>
          <w:rFonts w:cs="Arial"/>
          <w:szCs w:val="24"/>
        </w:rPr>
        <w:t xml:space="preserve">the </w:t>
      </w:r>
      <w:r w:rsidR="002631D3">
        <w:rPr>
          <w:rFonts w:cs="Arial"/>
          <w:i/>
          <w:szCs w:val="24"/>
        </w:rPr>
        <w:t xml:space="preserve">Bendigo City Centre Heritage Stage </w:t>
      </w:r>
      <w:r w:rsidR="009079B2">
        <w:rPr>
          <w:rFonts w:cs="Arial"/>
          <w:i/>
          <w:szCs w:val="24"/>
        </w:rPr>
        <w:t xml:space="preserve">2: Precincts </w:t>
      </w:r>
      <w:r w:rsidR="009079B2">
        <w:rPr>
          <w:rFonts w:cs="Arial"/>
          <w:szCs w:val="24"/>
        </w:rPr>
        <w:t>(2022)</w:t>
      </w:r>
      <w:r w:rsidR="007C70C9">
        <w:rPr>
          <w:rFonts w:cs="Arial"/>
          <w:szCs w:val="24"/>
        </w:rPr>
        <w:t xml:space="preserve"> </w:t>
      </w:r>
      <w:r w:rsidR="009079B2">
        <w:rPr>
          <w:rFonts w:cs="Arial"/>
          <w:szCs w:val="24"/>
        </w:rPr>
        <w:t xml:space="preserve">and the </w:t>
      </w:r>
      <w:r w:rsidR="00302A07">
        <w:rPr>
          <w:rFonts w:cs="Arial"/>
          <w:i/>
          <w:szCs w:val="24"/>
        </w:rPr>
        <w:t>Bendigo City Centre Parking Futures</w:t>
      </w:r>
      <w:r w:rsidR="00982E52">
        <w:rPr>
          <w:rFonts w:cs="Arial"/>
          <w:i/>
          <w:szCs w:val="24"/>
        </w:rPr>
        <w:t xml:space="preserve"> Action Plan </w:t>
      </w:r>
      <w:r w:rsidR="00D0206F">
        <w:rPr>
          <w:rFonts w:cs="Arial"/>
          <w:szCs w:val="24"/>
        </w:rPr>
        <w:t xml:space="preserve">(2020) </w:t>
      </w:r>
      <w:r w:rsidRPr="0034602D">
        <w:rPr>
          <w:rFonts w:cs="Arial"/>
          <w:szCs w:val="24"/>
        </w:rPr>
        <w:t>by rezoning most of the</w:t>
      </w:r>
      <w:r w:rsidR="001270E6">
        <w:rPr>
          <w:rFonts w:cs="Arial"/>
          <w:szCs w:val="24"/>
        </w:rPr>
        <w:t xml:space="preserve"> land in the</w:t>
      </w:r>
      <w:r w:rsidRPr="0034602D">
        <w:rPr>
          <w:rFonts w:cs="Arial"/>
          <w:szCs w:val="24"/>
        </w:rPr>
        <w:t xml:space="preserve"> Bendigo City Centre to the Activity Centre Zone – Schedule 1 (</w:t>
      </w:r>
      <w:r w:rsidRPr="00E16CE9">
        <w:rPr>
          <w:rFonts w:cs="Arial"/>
          <w:szCs w:val="24"/>
        </w:rPr>
        <w:t>ACZ1</w:t>
      </w:r>
      <w:r w:rsidRPr="0034602D">
        <w:rPr>
          <w:rFonts w:cs="Arial"/>
          <w:szCs w:val="24"/>
        </w:rPr>
        <w:t>)</w:t>
      </w:r>
      <w:r w:rsidR="00D95DE5">
        <w:rPr>
          <w:rFonts w:cs="Arial"/>
          <w:szCs w:val="24"/>
        </w:rPr>
        <w:t>; amending and updating heritage controls</w:t>
      </w:r>
      <w:r w:rsidR="004B147B">
        <w:rPr>
          <w:rFonts w:cs="Arial"/>
          <w:szCs w:val="24"/>
        </w:rPr>
        <w:t xml:space="preserve">; amending </w:t>
      </w:r>
      <w:r w:rsidR="00D95DE5">
        <w:rPr>
          <w:rFonts w:cs="Arial"/>
          <w:szCs w:val="24"/>
        </w:rPr>
        <w:t xml:space="preserve">parking controls (including </w:t>
      </w:r>
      <w:r w:rsidR="00AB00C5">
        <w:rPr>
          <w:rFonts w:cs="Arial"/>
          <w:szCs w:val="24"/>
        </w:rPr>
        <w:t xml:space="preserve">deletion of minimum car parking requirements from </w:t>
      </w:r>
      <w:r w:rsidR="00B52F23">
        <w:rPr>
          <w:rFonts w:cs="Arial"/>
          <w:szCs w:val="24"/>
        </w:rPr>
        <w:t xml:space="preserve">part of </w:t>
      </w:r>
      <w:r w:rsidR="00AB00C5">
        <w:rPr>
          <w:rFonts w:cs="Arial"/>
          <w:szCs w:val="24"/>
        </w:rPr>
        <w:t xml:space="preserve">the </w:t>
      </w:r>
      <w:r w:rsidR="00B52F23">
        <w:rPr>
          <w:rFonts w:cs="Arial"/>
          <w:szCs w:val="24"/>
        </w:rPr>
        <w:t>C</w:t>
      </w:r>
      <w:r w:rsidR="00AB00C5">
        <w:rPr>
          <w:rFonts w:cs="Arial"/>
          <w:szCs w:val="24"/>
        </w:rPr>
        <w:t xml:space="preserve">ity </w:t>
      </w:r>
      <w:r w:rsidR="00B52F23">
        <w:rPr>
          <w:rFonts w:cs="Arial"/>
          <w:szCs w:val="24"/>
        </w:rPr>
        <w:t>C</w:t>
      </w:r>
      <w:r w:rsidR="00AB00C5">
        <w:rPr>
          <w:rFonts w:cs="Arial"/>
          <w:szCs w:val="24"/>
        </w:rPr>
        <w:t>entre)</w:t>
      </w:r>
      <w:r w:rsidR="004B147B">
        <w:rPr>
          <w:rFonts w:cs="Arial"/>
          <w:szCs w:val="24"/>
        </w:rPr>
        <w:t>;</w:t>
      </w:r>
      <w:r w:rsidR="00E16CE9">
        <w:rPr>
          <w:rFonts w:cs="Arial"/>
          <w:szCs w:val="24"/>
        </w:rPr>
        <w:t xml:space="preserve"> </w:t>
      </w:r>
      <w:r w:rsidR="004B147B">
        <w:rPr>
          <w:rFonts w:cs="Arial"/>
          <w:szCs w:val="24"/>
        </w:rPr>
        <w:t xml:space="preserve">amending </w:t>
      </w:r>
      <w:r w:rsidR="00323132">
        <w:rPr>
          <w:rFonts w:cs="Arial"/>
          <w:szCs w:val="24"/>
        </w:rPr>
        <w:t xml:space="preserve">local </w:t>
      </w:r>
      <w:r w:rsidR="00E16CE9">
        <w:rPr>
          <w:rFonts w:cs="Arial"/>
          <w:szCs w:val="24"/>
        </w:rPr>
        <w:t xml:space="preserve">planning </w:t>
      </w:r>
      <w:r w:rsidR="00323132">
        <w:rPr>
          <w:rFonts w:cs="Arial"/>
          <w:szCs w:val="24"/>
        </w:rPr>
        <w:t>policy</w:t>
      </w:r>
      <w:r w:rsidR="00551C1C">
        <w:rPr>
          <w:rFonts w:cs="Arial"/>
          <w:szCs w:val="24"/>
        </w:rPr>
        <w:t xml:space="preserve">; </w:t>
      </w:r>
      <w:r w:rsidR="00594AE8">
        <w:rPr>
          <w:rFonts w:cs="Arial"/>
          <w:szCs w:val="24"/>
        </w:rPr>
        <w:t>applying th</w:t>
      </w:r>
      <w:r w:rsidR="00D97FCC">
        <w:rPr>
          <w:rFonts w:cs="Arial"/>
          <w:szCs w:val="24"/>
        </w:rPr>
        <w:t>e</w:t>
      </w:r>
      <w:r w:rsidR="00594AE8">
        <w:rPr>
          <w:rFonts w:cs="Arial"/>
          <w:szCs w:val="24"/>
        </w:rPr>
        <w:t xml:space="preserve"> Environmental Audit Overlay to potentially contaminated land; </w:t>
      </w:r>
      <w:r w:rsidR="00E16B69">
        <w:rPr>
          <w:rFonts w:cs="Arial"/>
          <w:szCs w:val="24"/>
        </w:rPr>
        <w:t xml:space="preserve">and making consequential changes to </w:t>
      </w:r>
      <w:r w:rsidR="001270E6">
        <w:rPr>
          <w:rFonts w:cs="Arial"/>
          <w:szCs w:val="24"/>
        </w:rPr>
        <w:t xml:space="preserve">various </w:t>
      </w:r>
      <w:r w:rsidR="00E16B69">
        <w:rPr>
          <w:rFonts w:cs="Arial"/>
          <w:szCs w:val="24"/>
        </w:rPr>
        <w:t>other provisions</w:t>
      </w:r>
      <w:r w:rsidR="00D97FCC">
        <w:rPr>
          <w:rFonts w:cs="Arial"/>
          <w:szCs w:val="24"/>
        </w:rPr>
        <w:t>.</w:t>
      </w:r>
    </w:p>
    <w:p w14:paraId="2A966FBA" w14:textId="77777777" w:rsidR="00AE5AE2" w:rsidRPr="00FC247F" w:rsidRDefault="00AE5AE2" w:rsidP="00AE5AE2">
      <w:r w:rsidRPr="00FC247F">
        <w:t>Specifically, the proposed amendment:</w:t>
      </w:r>
    </w:p>
    <w:p w14:paraId="6848FC86" w14:textId="77777777" w:rsidR="00AE5AE2" w:rsidRPr="00AE5AE2" w:rsidRDefault="00AE5AE2" w:rsidP="00AE5AE2">
      <w:pPr>
        <w:rPr>
          <w:rFonts w:cs="Arial"/>
          <w:b/>
          <w:szCs w:val="24"/>
        </w:rPr>
      </w:pPr>
      <w:r w:rsidRPr="00AE5AE2">
        <w:rPr>
          <w:rFonts w:cs="Arial"/>
          <w:b/>
          <w:szCs w:val="24"/>
        </w:rPr>
        <w:t>Mapping</w:t>
      </w:r>
    </w:p>
    <w:p w14:paraId="2F7581A7" w14:textId="77777777" w:rsidR="004352FC" w:rsidRDefault="00AE5AE2" w:rsidP="004352FC">
      <w:pPr>
        <w:pStyle w:val="Bulletlist"/>
      </w:pPr>
      <w:r w:rsidRPr="004352FC">
        <w:t>Rezones approximately 121.7 hectares of land in the Bendigo City Centre from Commercial 1 Zone (C1Z), Commercial 2 Zone (C2Z), General Residential Zone (GRZ), Mixed Use Zone (MUZ1 – Greater Bendigo Mixed Use Areas Excluding Strathfieldsaye), Public Park and Recreation Zone (PPRZ), Public Use Zone (PUZ2 – Education, PUZ6  - Local Government and PUZ7 – Other public use), Residential Growth Zone (RGZ1 – Hospital Precinct) and Special Use Zone (SUZ1 – Private Education or Religious Institutions) to the ACZ1 (Bendigo City Centre) as shown on Planning Scheme Map Nos. 19 and 23.</w:t>
      </w:r>
    </w:p>
    <w:p w14:paraId="22601F7F" w14:textId="199976F6" w:rsidR="00AE5AE2" w:rsidRPr="00144351" w:rsidRDefault="00AE5AE2" w:rsidP="004352FC">
      <w:pPr>
        <w:pStyle w:val="Bulletlist"/>
      </w:pPr>
      <w:r w:rsidRPr="004352FC">
        <w:rPr>
          <w:rFonts w:cs="Arial"/>
          <w:szCs w:val="24"/>
          <w:lang w:val="en-GB"/>
        </w:rPr>
        <w:t>Deletes the Heritage Overlay (HO) as follows from land within the Bendigo City Centre as shown on Planning Scheme Map No. 19HO:</w:t>
      </w:r>
    </w:p>
    <w:p w14:paraId="5CA516AA" w14:textId="77777777" w:rsidR="00AE5AE2" w:rsidRPr="00144351" w:rsidRDefault="00AE5AE2" w:rsidP="00144351">
      <w:pPr>
        <w:pStyle w:val="Bullet2"/>
        <w:rPr>
          <w:color w:val="000000" w:themeColor="text1"/>
        </w:rPr>
      </w:pPr>
      <w:r w:rsidRPr="00144351">
        <w:rPr>
          <w:color w:val="000000" w:themeColor="text1"/>
        </w:rPr>
        <w:t>HO3 (Bendigo Civic Precinct)</w:t>
      </w:r>
    </w:p>
    <w:p w14:paraId="44635532" w14:textId="77777777" w:rsidR="00AE5AE2" w:rsidRPr="00144351" w:rsidRDefault="00AE5AE2" w:rsidP="00144351">
      <w:pPr>
        <w:pStyle w:val="Bullet2"/>
        <w:rPr>
          <w:color w:val="000000" w:themeColor="text1"/>
        </w:rPr>
      </w:pPr>
      <w:r w:rsidRPr="00144351">
        <w:rPr>
          <w:color w:val="000000" w:themeColor="text1"/>
        </w:rPr>
        <w:t>HO12 (Short Street Precinct)</w:t>
      </w:r>
    </w:p>
    <w:p w14:paraId="31C8260C" w14:textId="77777777" w:rsidR="00AE5AE2" w:rsidRPr="00144351" w:rsidRDefault="00AE5AE2" w:rsidP="00144351">
      <w:pPr>
        <w:pStyle w:val="Bullet2"/>
        <w:rPr>
          <w:color w:val="000000" w:themeColor="text1"/>
        </w:rPr>
      </w:pPr>
      <w:r w:rsidRPr="00144351">
        <w:rPr>
          <w:color w:val="000000" w:themeColor="text1"/>
        </w:rPr>
        <w:t xml:space="preserve">HO105 (1 </w:t>
      </w:r>
      <w:proofErr w:type="spellStart"/>
      <w:r w:rsidRPr="00144351">
        <w:rPr>
          <w:color w:val="000000" w:themeColor="text1"/>
        </w:rPr>
        <w:t>Centreway</w:t>
      </w:r>
      <w:proofErr w:type="spellEnd"/>
      <w:r w:rsidRPr="00144351">
        <w:rPr>
          <w:color w:val="000000" w:themeColor="text1"/>
        </w:rPr>
        <w:t xml:space="preserve"> Arcade Bendigo, Building)</w:t>
      </w:r>
    </w:p>
    <w:p w14:paraId="66686DC1" w14:textId="77777777" w:rsidR="00AE5AE2" w:rsidRPr="00144351" w:rsidRDefault="00AE5AE2" w:rsidP="00144351">
      <w:pPr>
        <w:pStyle w:val="Bullet2"/>
        <w:rPr>
          <w:color w:val="000000" w:themeColor="text1"/>
        </w:rPr>
      </w:pPr>
      <w:r w:rsidRPr="00144351">
        <w:rPr>
          <w:color w:val="000000" w:themeColor="text1"/>
        </w:rPr>
        <w:t>HO152 (2-4 High Street, Bendigo, T J Connelly Building)</w:t>
      </w:r>
    </w:p>
    <w:p w14:paraId="4F476552" w14:textId="77777777" w:rsidR="00AE5AE2" w:rsidRPr="00144351" w:rsidRDefault="00AE5AE2" w:rsidP="00144351">
      <w:pPr>
        <w:pStyle w:val="Bullet2"/>
        <w:rPr>
          <w:color w:val="000000" w:themeColor="text1"/>
        </w:rPr>
      </w:pPr>
      <w:r w:rsidRPr="00144351">
        <w:rPr>
          <w:color w:val="000000" w:themeColor="text1"/>
        </w:rPr>
        <w:t>HO153 (41 High Street, Bendigo, City Family Hotel)</w:t>
      </w:r>
    </w:p>
    <w:p w14:paraId="0106DD53" w14:textId="77777777" w:rsidR="00AE5AE2" w:rsidRPr="00144351" w:rsidRDefault="00AE5AE2" w:rsidP="00144351">
      <w:pPr>
        <w:pStyle w:val="Bullet2"/>
        <w:rPr>
          <w:color w:val="000000" w:themeColor="text1"/>
        </w:rPr>
      </w:pPr>
      <w:r w:rsidRPr="00144351">
        <w:rPr>
          <w:color w:val="000000" w:themeColor="text1"/>
        </w:rPr>
        <w:t>HO154 (57-59 High Street, Bendigo, Building)</w:t>
      </w:r>
    </w:p>
    <w:p w14:paraId="7F656728" w14:textId="77777777" w:rsidR="00AE5AE2" w:rsidRPr="00144351" w:rsidRDefault="00AE5AE2" w:rsidP="00144351">
      <w:pPr>
        <w:pStyle w:val="Bullet2"/>
        <w:rPr>
          <w:color w:val="000000" w:themeColor="text1"/>
        </w:rPr>
      </w:pPr>
      <w:r w:rsidRPr="00144351">
        <w:rPr>
          <w:color w:val="000000" w:themeColor="text1"/>
        </w:rPr>
        <w:t>HO178 (133A McCrae Street, Bendigo, Albert Hotel (former))</w:t>
      </w:r>
    </w:p>
    <w:p w14:paraId="70335799" w14:textId="77777777" w:rsidR="00AE5AE2" w:rsidRPr="00144351" w:rsidRDefault="00AE5AE2" w:rsidP="00144351">
      <w:pPr>
        <w:pStyle w:val="Bullet2"/>
        <w:rPr>
          <w:color w:val="000000" w:themeColor="text1"/>
        </w:rPr>
      </w:pPr>
      <w:r w:rsidRPr="00144351">
        <w:rPr>
          <w:color w:val="000000" w:themeColor="text1"/>
        </w:rPr>
        <w:t>HO190 (12 Mitchell Street, Bendigo, Plaza building)</w:t>
      </w:r>
    </w:p>
    <w:p w14:paraId="7CB48DE0" w14:textId="77777777" w:rsidR="00AE5AE2" w:rsidRPr="00144351" w:rsidRDefault="00AE5AE2" w:rsidP="00144351">
      <w:pPr>
        <w:pStyle w:val="Bullet2"/>
        <w:rPr>
          <w:color w:val="000000" w:themeColor="text1"/>
        </w:rPr>
      </w:pPr>
      <w:r w:rsidRPr="00144351">
        <w:rPr>
          <w:color w:val="000000" w:themeColor="text1"/>
        </w:rPr>
        <w:t>HO191 (14-22 Mitchell Street, Bendigo, Backhaus Building)</w:t>
      </w:r>
    </w:p>
    <w:p w14:paraId="35B3CFF9" w14:textId="77777777" w:rsidR="00AE5AE2" w:rsidRPr="00144351" w:rsidRDefault="00AE5AE2" w:rsidP="00144351">
      <w:pPr>
        <w:pStyle w:val="Bullet2"/>
        <w:rPr>
          <w:color w:val="000000" w:themeColor="text1"/>
        </w:rPr>
      </w:pPr>
      <w:r w:rsidRPr="00144351">
        <w:rPr>
          <w:color w:val="000000" w:themeColor="text1"/>
        </w:rPr>
        <w:t xml:space="preserve">HO193 (31-33 Mitchell Street, Bendigo, </w:t>
      </w:r>
      <w:proofErr w:type="spellStart"/>
      <w:r w:rsidRPr="00144351">
        <w:rPr>
          <w:color w:val="000000" w:themeColor="text1"/>
        </w:rPr>
        <w:t>Lansell</w:t>
      </w:r>
      <w:proofErr w:type="spellEnd"/>
      <w:r w:rsidRPr="00144351">
        <w:rPr>
          <w:color w:val="000000" w:themeColor="text1"/>
        </w:rPr>
        <w:t xml:space="preserve"> Buildings (former))</w:t>
      </w:r>
    </w:p>
    <w:p w14:paraId="48CA8713" w14:textId="77777777" w:rsidR="00AE5AE2" w:rsidRPr="00144351" w:rsidRDefault="00AE5AE2" w:rsidP="00144351">
      <w:pPr>
        <w:pStyle w:val="Bullet2"/>
        <w:rPr>
          <w:color w:val="000000" w:themeColor="text1"/>
        </w:rPr>
      </w:pPr>
      <w:r w:rsidRPr="00144351">
        <w:rPr>
          <w:color w:val="000000" w:themeColor="text1"/>
        </w:rPr>
        <w:t>HO220 (34-36 Pall Mall, Bendigo, National Bank)</w:t>
      </w:r>
    </w:p>
    <w:p w14:paraId="1CACC8FC" w14:textId="77777777" w:rsidR="00AE5AE2" w:rsidRPr="00144351" w:rsidRDefault="00AE5AE2" w:rsidP="00144351">
      <w:pPr>
        <w:pStyle w:val="Bullet2"/>
        <w:rPr>
          <w:color w:val="000000" w:themeColor="text1"/>
        </w:rPr>
      </w:pPr>
      <w:r w:rsidRPr="00144351">
        <w:rPr>
          <w:color w:val="000000" w:themeColor="text1"/>
        </w:rPr>
        <w:t>HO224 (60-64 Pall Mall, Bendigo, Exchange Hotel (former))</w:t>
      </w:r>
    </w:p>
    <w:p w14:paraId="2BA7204C" w14:textId="77777777" w:rsidR="00AE5AE2" w:rsidRPr="00144351" w:rsidRDefault="00AE5AE2" w:rsidP="00144351">
      <w:pPr>
        <w:pStyle w:val="Bullet2"/>
        <w:rPr>
          <w:color w:val="000000" w:themeColor="text1"/>
        </w:rPr>
      </w:pPr>
      <w:r w:rsidRPr="00144351">
        <w:rPr>
          <w:color w:val="000000" w:themeColor="text1"/>
        </w:rPr>
        <w:t>HO228 (82-84 Bull Street, Bendigo, Commercial Hotel (former))</w:t>
      </w:r>
    </w:p>
    <w:p w14:paraId="458ED8A7" w14:textId="77777777" w:rsidR="00AE5AE2" w:rsidRPr="00144351" w:rsidRDefault="00AE5AE2" w:rsidP="00144351">
      <w:pPr>
        <w:pStyle w:val="Bullet2"/>
        <w:rPr>
          <w:color w:val="000000" w:themeColor="text1"/>
        </w:rPr>
      </w:pPr>
      <w:r w:rsidRPr="00144351">
        <w:rPr>
          <w:color w:val="000000" w:themeColor="text1"/>
        </w:rPr>
        <w:lastRenderedPageBreak/>
        <w:t>HO255 (1 View Point, Bendigo, London Chartered Bank (former))</w:t>
      </w:r>
    </w:p>
    <w:p w14:paraId="141A5EBB" w14:textId="77777777" w:rsidR="00AE5AE2" w:rsidRPr="00144351" w:rsidRDefault="00AE5AE2" w:rsidP="00144351">
      <w:pPr>
        <w:pStyle w:val="Bullet2"/>
        <w:rPr>
          <w:color w:val="000000" w:themeColor="text1"/>
        </w:rPr>
      </w:pPr>
      <w:r w:rsidRPr="00144351">
        <w:rPr>
          <w:color w:val="000000" w:themeColor="text1"/>
        </w:rPr>
        <w:t>HO273 (75 View Street, Bendigo, Atkinson Buildings)</w:t>
      </w:r>
    </w:p>
    <w:p w14:paraId="52B0DA2A" w14:textId="77777777" w:rsidR="00AE5AE2" w:rsidRPr="00144351" w:rsidRDefault="00AE5AE2" w:rsidP="00144351">
      <w:pPr>
        <w:pStyle w:val="Bullet2"/>
        <w:rPr>
          <w:color w:val="000000" w:themeColor="text1"/>
        </w:rPr>
      </w:pPr>
      <w:r w:rsidRPr="00144351">
        <w:rPr>
          <w:color w:val="000000" w:themeColor="text1"/>
        </w:rPr>
        <w:t>HO296 (12-16 Williamson Street, Bendigo, Photographic Studio)</w:t>
      </w:r>
    </w:p>
    <w:p w14:paraId="65AE59DE" w14:textId="77777777" w:rsidR="00AE5AE2" w:rsidRPr="00144351" w:rsidRDefault="00AE5AE2" w:rsidP="00144351">
      <w:pPr>
        <w:pStyle w:val="Bullet2"/>
        <w:rPr>
          <w:color w:val="000000" w:themeColor="text1"/>
        </w:rPr>
      </w:pPr>
      <w:r w:rsidRPr="00144351">
        <w:rPr>
          <w:color w:val="000000" w:themeColor="text1"/>
        </w:rPr>
        <w:t>HO297 (20 Williamson Street, Bendigo, St James Hall)</w:t>
      </w:r>
    </w:p>
    <w:p w14:paraId="6CBA86F7" w14:textId="77777777" w:rsidR="00AE5AE2" w:rsidRPr="00144351" w:rsidRDefault="00AE5AE2" w:rsidP="00144351">
      <w:pPr>
        <w:pStyle w:val="Bullet2"/>
        <w:rPr>
          <w:color w:val="000000" w:themeColor="text1"/>
        </w:rPr>
      </w:pPr>
      <w:r w:rsidRPr="00144351">
        <w:rPr>
          <w:color w:val="000000" w:themeColor="text1"/>
        </w:rPr>
        <w:t>HO298 (33, 35 &amp; 37 Williamson Street, Bendigo, Buildings)</w:t>
      </w:r>
    </w:p>
    <w:p w14:paraId="4AD8B275" w14:textId="77777777" w:rsidR="00AE5AE2" w:rsidRPr="00144351" w:rsidRDefault="00AE5AE2" w:rsidP="00144351">
      <w:pPr>
        <w:pStyle w:val="Bullet2"/>
        <w:rPr>
          <w:color w:val="000000" w:themeColor="text1"/>
        </w:rPr>
      </w:pPr>
      <w:r w:rsidRPr="00144351">
        <w:rPr>
          <w:color w:val="000000" w:themeColor="text1"/>
        </w:rPr>
        <w:t>HO299 (38-40 Williamson Street, Bendigo, Bendigo Independent Office)</w:t>
      </w:r>
    </w:p>
    <w:p w14:paraId="76430EBD" w14:textId="77777777" w:rsidR="00AE5AE2" w:rsidRPr="00144351" w:rsidRDefault="00AE5AE2" w:rsidP="00144351">
      <w:pPr>
        <w:pStyle w:val="Bullet2"/>
        <w:rPr>
          <w:color w:val="000000" w:themeColor="text1"/>
        </w:rPr>
      </w:pPr>
      <w:r w:rsidRPr="00144351">
        <w:rPr>
          <w:color w:val="000000" w:themeColor="text1"/>
        </w:rPr>
        <w:t>HO300 (44 Williamson Street, Bendigo, Limerick Hotel)</w:t>
      </w:r>
    </w:p>
    <w:p w14:paraId="05995982" w14:textId="77777777" w:rsidR="00AE5AE2" w:rsidRPr="00AE5AE2" w:rsidRDefault="00AE5AE2" w:rsidP="001101BF">
      <w:pPr>
        <w:pStyle w:val="Bulletlist"/>
        <w:rPr>
          <w:rFonts w:cs="Arial"/>
          <w:szCs w:val="24"/>
          <w:lang w:val="en-GB"/>
        </w:rPr>
      </w:pPr>
      <w:r w:rsidRPr="00AE5AE2">
        <w:rPr>
          <w:rFonts w:cs="Arial"/>
          <w:szCs w:val="24"/>
          <w:lang w:val="en-GB"/>
        </w:rPr>
        <w:t>Applies the HO3 (renamed from Bendigo Civic Precinct to Bendigo Grand Boulevards Precinct) to land in Bridge (part), Bull, McCrae (part), Short and View Streets, Charing Cross, Farmers Lane, Howard Place, Pall Mall and View Point, Bendigo, as shown on Planning Scheme Map No. 19HO.</w:t>
      </w:r>
    </w:p>
    <w:p w14:paraId="670B729E" w14:textId="77777777" w:rsidR="00AE5AE2" w:rsidRPr="00AE5AE2" w:rsidRDefault="00AE5AE2" w:rsidP="001101BF">
      <w:pPr>
        <w:pStyle w:val="Bulletlist"/>
        <w:rPr>
          <w:rFonts w:cs="Arial"/>
          <w:szCs w:val="24"/>
          <w:lang w:val="en-GB"/>
        </w:rPr>
      </w:pPr>
      <w:r w:rsidRPr="00AE5AE2">
        <w:rPr>
          <w:rFonts w:cs="Arial"/>
          <w:szCs w:val="24"/>
          <w:lang w:val="en-GB"/>
        </w:rPr>
        <w:t>Applies the HO as follows to land within the Bendigo City Centre as shown on Planning Scheme Map No. 19HO:</w:t>
      </w:r>
    </w:p>
    <w:p w14:paraId="3D38FF8D" w14:textId="77777777" w:rsidR="00AE5AE2" w:rsidRPr="001101BF" w:rsidRDefault="00AE5AE2" w:rsidP="001101BF">
      <w:pPr>
        <w:pStyle w:val="Bullet2"/>
        <w:rPr>
          <w:color w:val="000000" w:themeColor="text1"/>
        </w:rPr>
      </w:pPr>
      <w:r w:rsidRPr="001101BF">
        <w:rPr>
          <w:color w:val="000000" w:themeColor="text1"/>
        </w:rPr>
        <w:t>HO104 (70 Bull Street, Bendigo, Taylor Bros. Corner House)</w:t>
      </w:r>
    </w:p>
    <w:p w14:paraId="4EB08A21" w14:textId="77777777" w:rsidR="00AE5AE2" w:rsidRPr="001101BF" w:rsidRDefault="00AE5AE2" w:rsidP="001101BF">
      <w:pPr>
        <w:pStyle w:val="Bullet2"/>
        <w:rPr>
          <w:color w:val="000000" w:themeColor="text1"/>
        </w:rPr>
      </w:pPr>
      <w:r w:rsidRPr="001101BF">
        <w:rPr>
          <w:color w:val="000000" w:themeColor="text1"/>
        </w:rPr>
        <w:t>HO154 (57-59 High Street, Bendigo, Building)</w:t>
      </w:r>
    </w:p>
    <w:p w14:paraId="65AFFFE2" w14:textId="77777777" w:rsidR="00AE5AE2" w:rsidRPr="001101BF" w:rsidRDefault="00AE5AE2" w:rsidP="001101BF">
      <w:pPr>
        <w:pStyle w:val="Bullet2"/>
        <w:rPr>
          <w:color w:val="000000" w:themeColor="text1"/>
        </w:rPr>
      </w:pPr>
      <w:r w:rsidRPr="001101BF">
        <w:rPr>
          <w:color w:val="000000" w:themeColor="text1"/>
        </w:rPr>
        <w:t>HO190 (12 Mitchell Street, Bendigo, Plaza building)</w:t>
      </w:r>
    </w:p>
    <w:p w14:paraId="2BF87085" w14:textId="77777777" w:rsidR="00AE5AE2" w:rsidRPr="001101BF" w:rsidRDefault="00AE5AE2" w:rsidP="001101BF">
      <w:pPr>
        <w:pStyle w:val="Bullet2"/>
        <w:rPr>
          <w:color w:val="000000" w:themeColor="text1"/>
        </w:rPr>
      </w:pPr>
      <w:r w:rsidRPr="001101BF">
        <w:rPr>
          <w:color w:val="000000" w:themeColor="text1"/>
        </w:rPr>
        <w:t>HO191 (14-22 Mitchell Street, Bendigo, Backhaus Building)</w:t>
      </w:r>
    </w:p>
    <w:p w14:paraId="75017BF9" w14:textId="77777777" w:rsidR="00AE5AE2" w:rsidRPr="001101BF" w:rsidRDefault="00AE5AE2" w:rsidP="001101BF">
      <w:pPr>
        <w:pStyle w:val="Bullet2"/>
        <w:rPr>
          <w:color w:val="000000" w:themeColor="text1"/>
        </w:rPr>
      </w:pPr>
      <w:r w:rsidRPr="001101BF">
        <w:rPr>
          <w:color w:val="000000" w:themeColor="text1"/>
        </w:rPr>
        <w:t>HO192 (23 Mitchell Street, Bendigo, Johnson Morley &amp; Co, Shop &amp; Warehouse (former))</w:t>
      </w:r>
    </w:p>
    <w:p w14:paraId="54FE019B" w14:textId="77777777" w:rsidR="00AE5AE2" w:rsidRPr="001101BF" w:rsidRDefault="00AE5AE2" w:rsidP="001101BF">
      <w:pPr>
        <w:pStyle w:val="Bullet2"/>
        <w:rPr>
          <w:color w:val="000000" w:themeColor="text1"/>
        </w:rPr>
      </w:pPr>
      <w:r w:rsidRPr="001101BF">
        <w:rPr>
          <w:color w:val="000000" w:themeColor="text1"/>
        </w:rPr>
        <w:t xml:space="preserve">HO193 (31-33 Mitchell Street, Bendigo, </w:t>
      </w:r>
      <w:proofErr w:type="spellStart"/>
      <w:r w:rsidRPr="001101BF">
        <w:rPr>
          <w:color w:val="000000" w:themeColor="text1"/>
        </w:rPr>
        <w:t>Lansell</w:t>
      </w:r>
      <w:proofErr w:type="spellEnd"/>
      <w:r w:rsidRPr="001101BF">
        <w:rPr>
          <w:color w:val="000000" w:themeColor="text1"/>
        </w:rPr>
        <w:t xml:space="preserve"> Buildings (former))</w:t>
      </w:r>
    </w:p>
    <w:p w14:paraId="2F9084C8" w14:textId="77777777" w:rsidR="00AE5AE2" w:rsidRPr="001101BF" w:rsidRDefault="00AE5AE2" w:rsidP="001101BF">
      <w:pPr>
        <w:pStyle w:val="Bullet2"/>
        <w:rPr>
          <w:color w:val="000000" w:themeColor="text1"/>
        </w:rPr>
      </w:pPr>
      <w:r w:rsidRPr="001101BF">
        <w:rPr>
          <w:color w:val="000000" w:themeColor="text1"/>
        </w:rPr>
        <w:t>HO220 (34-36 Pall Mall, Bendigo, National Bank)</w:t>
      </w:r>
    </w:p>
    <w:p w14:paraId="5642AE98" w14:textId="77777777" w:rsidR="00AE5AE2" w:rsidRPr="001101BF" w:rsidRDefault="00AE5AE2" w:rsidP="001101BF">
      <w:pPr>
        <w:pStyle w:val="Bullet2"/>
        <w:rPr>
          <w:color w:val="000000" w:themeColor="text1"/>
        </w:rPr>
      </w:pPr>
      <w:r w:rsidRPr="001101BF">
        <w:rPr>
          <w:color w:val="000000" w:themeColor="text1"/>
        </w:rPr>
        <w:t>HO224 (60-64 Pall Mall, Bendigo, Exchange Hotel (former))</w:t>
      </w:r>
    </w:p>
    <w:p w14:paraId="5730D110" w14:textId="77777777" w:rsidR="00AE5AE2" w:rsidRPr="001101BF" w:rsidRDefault="00AE5AE2" w:rsidP="001101BF">
      <w:pPr>
        <w:pStyle w:val="Bullet2"/>
        <w:rPr>
          <w:color w:val="000000" w:themeColor="text1"/>
        </w:rPr>
      </w:pPr>
      <w:r w:rsidRPr="001101BF">
        <w:rPr>
          <w:color w:val="000000" w:themeColor="text1"/>
        </w:rPr>
        <w:t>HO225 (70 Pall Mall, Bendigo, Photographic Studio)</w:t>
      </w:r>
    </w:p>
    <w:p w14:paraId="06D13679" w14:textId="77777777" w:rsidR="00AE5AE2" w:rsidRPr="001101BF" w:rsidRDefault="00AE5AE2" w:rsidP="001101BF">
      <w:pPr>
        <w:pStyle w:val="Bullet2"/>
        <w:rPr>
          <w:color w:val="000000" w:themeColor="text1"/>
        </w:rPr>
      </w:pPr>
      <w:r w:rsidRPr="001101BF">
        <w:rPr>
          <w:color w:val="000000" w:themeColor="text1"/>
        </w:rPr>
        <w:t>HO228 (82-84 Bull Street, Bendigo, Commercial Hotel (former))</w:t>
      </w:r>
    </w:p>
    <w:p w14:paraId="23236366" w14:textId="77777777" w:rsidR="00AE5AE2" w:rsidRPr="001101BF" w:rsidRDefault="00AE5AE2" w:rsidP="001101BF">
      <w:pPr>
        <w:pStyle w:val="Bullet2"/>
        <w:rPr>
          <w:color w:val="000000" w:themeColor="text1"/>
        </w:rPr>
      </w:pPr>
      <w:r w:rsidRPr="001101BF">
        <w:rPr>
          <w:color w:val="000000" w:themeColor="text1"/>
        </w:rPr>
        <w:t>HO269 (45 View Street, Bendigo, Union Bank (former))</w:t>
      </w:r>
    </w:p>
    <w:p w14:paraId="1FA916AD" w14:textId="77777777" w:rsidR="00AE5AE2" w:rsidRPr="001101BF" w:rsidRDefault="00AE5AE2" w:rsidP="001101BF">
      <w:pPr>
        <w:pStyle w:val="Bullet2"/>
        <w:rPr>
          <w:color w:val="000000" w:themeColor="text1"/>
        </w:rPr>
      </w:pPr>
      <w:r w:rsidRPr="001101BF">
        <w:rPr>
          <w:color w:val="000000" w:themeColor="text1"/>
        </w:rPr>
        <w:t>HO296 (12-16 Williamson Street, Bendigo, Photographic Studio)</w:t>
      </w:r>
    </w:p>
    <w:p w14:paraId="34D79D6D" w14:textId="77777777" w:rsidR="00AE5AE2" w:rsidRPr="001101BF" w:rsidRDefault="00AE5AE2" w:rsidP="001101BF">
      <w:pPr>
        <w:pStyle w:val="Bullet2"/>
        <w:rPr>
          <w:color w:val="000000" w:themeColor="text1"/>
        </w:rPr>
      </w:pPr>
      <w:r w:rsidRPr="001101BF">
        <w:rPr>
          <w:color w:val="000000" w:themeColor="text1"/>
        </w:rPr>
        <w:t>HO297 (20 Williamson Street, Bendigo, St James Hall)</w:t>
      </w:r>
    </w:p>
    <w:p w14:paraId="4EBF2960" w14:textId="77777777" w:rsidR="00AE5AE2" w:rsidRPr="001101BF" w:rsidRDefault="00AE5AE2" w:rsidP="001101BF">
      <w:pPr>
        <w:pStyle w:val="Bullet2"/>
        <w:rPr>
          <w:color w:val="000000" w:themeColor="text1"/>
        </w:rPr>
      </w:pPr>
      <w:r w:rsidRPr="001101BF">
        <w:rPr>
          <w:color w:val="000000" w:themeColor="text1"/>
        </w:rPr>
        <w:t>HO299 (38-40 Williamson Street, Bendigo, Bendigo Independent Office)</w:t>
      </w:r>
    </w:p>
    <w:p w14:paraId="16A32C5B" w14:textId="77777777" w:rsidR="00AE5AE2" w:rsidRPr="001101BF" w:rsidRDefault="00AE5AE2" w:rsidP="001101BF">
      <w:pPr>
        <w:pStyle w:val="Bullet2"/>
        <w:rPr>
          <w:color w:val="000000" w:themeColor="text1"/>
        </w:rPr>
      </w:pPr>
      <w:r w:rsidRPr="001101BF">
        <w:rPr>
          <w:color w:val="000000" w:themeColor="text1"/>
        </w:rPr>
        <w:t>HO300 (44 Williamson Street, Bendigo, Limerick Hotel))</w:t>
      </w:r>
    </w:p>
    <w:p w14:paraId="0CE968CB" w14:textId="77777777" w:rsidR="00AE5AE2" w:rsidRPr="00AE5AE2" w:rsidRDefault="00AE5AE2" w:rsidP="001101BF">
      <w:pPr>
        <w:pStyle w:val="Bulletlist"/>
        <w:rPr>
          <w:rFonts w:cs="Arial"/>
          <w:szCs w:val="24"/>
          <w:lang w:val="en-GB"/>
        </w:rPr>
      </w:pPr>
      <w:r w:rsidRPr="00AE5AE2">
        <w:rPr>
          <w:rFonts w:cs="Arial"/>
          <w:szCs w:val="24"/>
          <w:lang w:val="en-GB"/>
        </w:rPr>
        <w:t>Applies a new HO1005 (Hargreaves Street and Environs Commercial Precinct) to land in Hargreaves, King, Mitchell, Mundy and Williamson Streets, Bath Lane and Lyttleton Terrace, Bendigo as shown on Planning Scheme Map No. 19HO.</w:t>
      </w:r>
    </w:p>
    <w:p w14:paraId="7165DD07" w14:textId="77777777" w:rsidR="00AE5AE2" w:rsidRPr="00AE5AE2" w:rsidRDefault="00AE5AE2" w:rsidP="001101BF">
      <w:pPr>
        <w:pStyle w:val="Bulletlist"/>
        <w:rPr>
          <w:rFonts w:cs="Arial"/>
          <w:szCs w:val="24"/>
          <w:lang w:val="en-GB"/>
        </w:rPr>
      </w:pPr>
      <w:r w:rsidRPr="00AE5AE2">
        <w:rPr>
          <w:rFonts w:cs="Arial"/>
          <w:szCs w:val="24"/>
          <w:lang w:val="en-GB"/>
        </w:rPr>
        <w:t>Applies new Heritage Overlays as follows to land at four individual heritage places within the Bendigo City Centre as shown on Planning Scheme Map No. 19:</w:t>
      </w:r>
    </w:p>
    <w:p w14:paraId="6BDD58F7" w14:textId="77777777" w:rsidR="00AE5AE2" w:rsidRPr="001101BF" w:rsidRDefault="00AE5AE2" w:rsidP="001101BF">
      <w:pPr>
        <w:pStyle w:val="Bullet2"/>
        <w:rPr>
          <w:color w:val="000000" w:themeColor="text1"/>
        </w:rPr>
      </w:pPr>
      <w:r w:rsidRPr="001101BF">
        <w:rPr>
          <w:color w:val="000000" w:themeColor="text1"/>
        </w:rPr>
        <w:lastRenderedPageBreak/>
        <w:t>HO1006 (391 Hargreaves Street, Bendigo, Sharland’s Surgery and Residence (former))</w:t>
      </w:r>
    </w:p>
    <w:p w14:paraId="25AAECA6" w14:textId="77777777" w:rsidR="00AE5AE2" w:rsidRPr="001101BF" w:rsidRDefault="00AE5AE2" w:rsidP="001101BF">
      <w:pPr>
        <w:pStyle w:val="Bullet2"/>
        <w:rPr>
          <w:color w:val="000000" w:themeColor="text1"/>
        </w:rPr>
      </w:pPr>
      <w:r w:rsidRPr="001101BF">
        <w:rPr>
          <w:color w:val="000000" w:themeColor="text1"/>
        </w:rPr>
        <w:t>HO1007 (402 Hargreaves Street, Bendigo, Belfast Store (former))</w:t>
      </w:r>
    </w:p>
    <w:p w14:paraId="29456BF5" w14:textId="77777777" w:rsidR="00AE5AE2" w:rsidRPr="001101BF" w:rsidRDefault="00AE5AE2" w:rsidP="001101BF">
      <w:pPr>
        <w:pStyle w:val="Bullet2"/>
        <w:rPr>
          <w:color w:val="000000" w:themeColor="text1"/>
        </w:rPr>
      </w:pPr>
      <w:r w:rsidRPr="001101BF">
        <w:rPr>
          <w:color w:val="000000" w:themeColor="text1"/>
        </w:rPr>
        <w:t>HO1008 (95-97 Mitchell Street, Bendigo, Carolin Warehouse and Store (former))</w:t>
      </w:r>
    </w:p>
    <w:p w14:paraId="1778D9C3" w14:textId="0AE325F0" w:rsidR="00825B0C" w:rsidRPr="00825B0C" w:rsidRDefault="00AE5AE2" w:rsidP="00825B0C">
      <w:pPr>
        <w:pStyle w:val="Bullet2"/>
        <w:rPr>
          <w:color w:val="000000" w:themeColor="text1"/>
        </w:rPr>
      </w:pPr>
      <w:r w:rsidRPr="001101BF">
        <w:rPr>
          <w:color w:val="000000" w:themeColor="text1"/>
        </w:rPr>
        <w:t>HO1009 (62-64 Queen Street, Bendigo, B.C.M. Butter Factory (former))</w:t>
      </w:r>
      <w:r w:rsidR="00825B0C">
        <w:rPr>
          <w:color w:val="000000" w:themeColor="text1"/>
        </w:rPr>
        <w:t>.</w:t>
      </w:r>
    </w:p>
    <w:p w14:paraId="4ECA5FCB" w14:textId="7FFFE81F" w:rsidR="00AE5AE2" w:rsidRPr="00AE5AE2" w:rsidRDefault="00AE5AE2" w:rsidP="001101BF">
      <w:pPr>
        <w:pStyle w:val="Bulletlist"/>
        <w:rPr>
          <w:rFonts w:cs="Arial"/>
          <w:szCs w:val="24"/>
          <w:lang w:val="en-GB"/>
        </w:rPr>
      </w:pPr>
      <w:r w:rsidRPr="00AE5AE2">
        <w:rPr>
          <w:rFonts w:cs="Arial"/>
          <w:szCs w:val="24"/>
          <w:lang w:val="en-GB"/>
        </w:rPr>
        <w:t>Deletes the DDO5, DDO12, DDO13 and DDO21 from land within the Bendigo City Centre as shown on Planning Scheme Map Nos. 19DDO and 23DDO.</w:t>
      </w:r>
    </w:p>
    <w:p w14:paraId="44C9D6BF" w14:textId="77777777" w:rsidR="00AE5AE2" w:rsidRPr="00AE5AE2" w:rsidRDefault="00AE5AE2" w:rsidP="001101BF">
      <w:pPr>
        <w:pStyle w:val="Bulletlist"/>
        <w:rPr>
          <w:rFonts w:cs="Arial"/>
          <w:szCs w:val="24"/>
          <w:lang w:val="en-GB"/>
        </w:rPr>
      </w:pPr>
      <w:r w:rsidRPr="00AE5AE2">
        <w:rPr>
          <w:rFonts w:cs="Arial"/>
          <w:szCs w:val="24"/>
          <w:lang w:val="en-GB"/>
        </w:rPr>
        <w:t>Deletes the DDO20 from that part of the land affected by the overlay that is within the Bendigo City Centre as shown on Planning Scheme Map Nos. 19DDO and 23DDO.</w:t>
      </w:r>
    </w:p>
    <w:p w14:paraId="0E403BBA" w14:textId="50F640C5" w:rsidR="00AE5AE2" w:rsidRPr="00AE5AE2" w:rsidRDefault="00AE5AE2" w:rsidP="001101BF">
      <w:pPr>
        <w:pStyle w:val="Bulletlist"/>
        <w:rPr>
          <w:rFonts w:cs="Arial"/>
          <w:szCs w:val="24"/>
          <w:lang w:val="en-GB"/>
        </w:rPr>
      </w:pPr>
      <w:r w:rsidRPr="00AE5AE2">
        <w:rPr>
          <w:rFonts w:cs="Arial"/>
          <w:szCs w:val="24"/>
          <w:lang w:val="en-GB"/>
        </w:rPr>
        <w:t xml:space="preserve">Applies the EAO to land </w:t>
      </w:r>
      <w:r w:rsidR="00825B0C">
        <w:rPr>
          <w:rFonts w:cs="Arial"/>
          <w:szCs w:val="24"/>
          <w:lang w:val="en-GB"/>
        </w:rPr>
        <w:t xml:space="preserve">within Bendigo City Centre as shown on </w:t>
      </w:r>
      <w:r w:rsidRPr="00AE5AE2">
        <w:rPr>
          <w:rFonts w:cs="Arial"/>
          <w:szCs w:val="24"/>
          <w:lang w:val="en-GB"/>
        </w:rPr>
        <w:t>Planning Scheme Map No. 19EAO.</w:t>
      </w:r>
    </w:p>
    <w:p w14:paraId="513FF5FB" w14:textId="77777777" w:rsidR="00AE5AE2" w:rsidRPr="00AE5AE2" w:rsidRDefault="00AE5AE2" w:rsidP="001101BF">
      <w:pPr>
        <w:pStyle w:val="Bulletlist"/>
        <w:rPr>
          <w:rFonts w:cs="Arial"/>
          <w:szCs w:val="24"/>
          <w:lang w:val="en-GB"/>
        </w:rPr>
      </w:pPr>
      <w:r w:rsidRPr="00AE5AE2">
        <w:rPr>
          <w:rFonts w:cs="Arial"/>
          <w:szCs w:val="24"/>
          <w:lang w:val="en-GB"/>
        </w:rPr>
        <w:t>Deletes the PO1 from land within the Bendigo City Centre as shown on Planning Scheme Map Nos. 19PO and 23PO.</w:t>
      </w:r>
    </w:p>
    <w:p w14:paraId="1DCC8CDB" w14:textId="77777777" w:rsidR="00AE5AE2" w:rsidRPr="00AE5AE2" w:rsidRDefault="00AE5AE2" w:rsidP="001101BF">
      <w:pPr>
        <w:pStyle w:val="Bulletlist"/>
        <w:rPr>
          <w:rFonts w:cs="Arial"/>
          <w:szCs w:val="24"/>
          <w:lang w:val="en-GB"/>
        </w:rPr>
      </w:pPr>
      <w:r w:rsidRPr="00AE5AE2">
        <w:rPr>
          <w:rFonts w:cs="Arial"/>
          <w:szCs w:val="24"/>
          <w:lang w:val="en-GB"/>
        </w:rPr>
        <w:t>Applies the PO3 to land within the Bendigo City Centre as shown on Planning Scheme Map Nos. 19PO and 23PO.</w:t>
      </w:r>
    </w:p>
    <w:p w14:paraId="4B446BE6" w14:textId="77777777" w:rsidR="00AE5AE2" w:rsidRPr="00342F0D" w:rsidRDefault="00AE5AE2" w:rsidP="00342F0D">
      <w:pPr>
        <w:rPr>
          <w:rFonts w:cs="Arial"/>
          <w:b/>
          <w:szCs w:val="24"/>
        </w:rPr>
      </w:pPr>
      <w:r w:rsidRPr="00342F0D">
        <w:rPr>
          <w:rFonts w:cs="Arial"/>
          <w:b/>
          <w:szCs w:val="24"/>
        </w:rPr>
        <w:t>Ordinance</w:t>
      </w:r>
    </w:p>
    <w:p w14:paraId="1AEC3531" w14:textId="77777777" w:rsidR="00AE5AE2" w:rsidRPr="00041AD9" w:rsidRDefault="00AE5AE2" w:rsidP="001101BF">
      <w:pPr>
        <w:pStyle w:val="Bulletlist"/>
        <w:rPr>
          <w:rFonts w:cs="Arial"/>
          <w:szCs w:val="24"/>
          <w:lang w:val="en-GB"/>
        </w:rPr>
      </w:pPr>
      <w:r w:rsidRPr="00041AD9">
        <w:rPr>
          <w:rFonts w:cs="Arial"/>
          <w:szCs w:val="24"/>
          <w:lang w:val="en-GB"/>
        </w:rPr>
        <w:t>Amends Clauses 11.03-1L (Activity Centres) and Clause 11.03-6L-01 (Bendigo City Centre) to update local planning policies to assist decision-making within the Bendigo City Centre.</w:t>
      </w:r>
    </w:p>
    <w:p w14:paraId="72C15C15" w14:textId="77777777" w:rsidR="00AE5AE2" w:rsidRPr="00041AD9" w:rsidRDefault="00AE5AE2" w:rsidP="001101BF">
      <w:pPr>
        <w:pStyle w:val="Bulletlist"/>
        <w:rPr>
          <w:rFonts w:cs="Arial"/>
          <w:szCs w:val="24"/>
          <w:lang w:val="en-GB"/>
        </w:rPr>
      </w:pPr>
      <w:r w:rsidRPr="00041AD9">
        <w:rPr>
          <w:rFonts w:cs="Arial"/>
          <w:szCs w:val="24"/>
          <w:lang w:val="en-GB"/>
        </w:rPr>
        <w:t>Inserts Clause 37.08, Activity Centre Zone (ACZ) into the Greater Bendigo Planning Scheme.</w:t>
      </w:r>
    </w:p>
    <w:p w14:paraId="7EF6962C" w14:textId="77777777" w:rsidR="00AE5AE2" w:rsidRPr="00041AD9" w:rsidRDefault="00AE5AE2" w:rsidP="001101BF">
      <w:pPr>
        <w:pStyle w:val="Bulletlist"/>
        <w:rPr>
          <w:rFonts w:cs="Arial"/>
          <w:szCs w:val="24"/>
          <w:lang w:val="en-GB"/>
        </w:rPr>
      </w:pPr>
      <w:r w:rsidRPr="00041AD9">
        <w:rPr>
          <w:rFonts w:cs="Arial"/>
          <w:szCs w:val="24"/>
          <w:lang w:val="en-GB"/>
        </w:rPr>
        <w:t>Inserts a new Schedule 1 to Clause 37.08 (ACZ1 – Bendigo City Centre) into the planning scheme, including objectives, a table of uses, buildings and works requirements, design and development requirements and specific precinct requirements and guidelines for nine precincts in the city centre.</w:t>
      </w:r>
    </w:p>
    <w:p w14:paraId="54EC22A0" w14:textId="77777777" w:rsidR="00AE5AE2" w:rsidRPr="00041AD9" w:rsidRDefault="00AE5AE2" w:rsidP="001101BF">
      <w:pPr>
        <w:pStyle w:val="Bulletlist"/>
        <w:rPr>
          <w:rFonts w:cs="Arial"/>
          <w:szCs w:val="24"/>
          <w:lang w:val="en-GB"/>
        </w:rPr>
      </w:pPr>
      <w:r w:rsidRPr="00041AD9">
        <w:rPr>
          <w:rFonts w:cs="Arial"/>
          <w:szCs w:val="24"/>
          <w:lang w:val="en-GB"/>
        </w:rPr>
        <w:t>Amends the Schedule to Clause 34.01 (C1Z) to delete maximum leasable floor areas for the Marketplace Shopping Centre and the Crystal Ice and Gillies Pie Factory site.</w:t>
      </w:r>
    </w:p>
    <w:p w14:paraId="01F92BB8" w14:textId="77777777" w:rsidR="00AE5AE2" w:rsidRPr="00041AD9" w:rsidRDefault="00AE5AE2" w:rsidP="001101BF">
      <w:pPr>
        <w:pStyle w:val="Bulletlist"/>
        <w:rPr>
          <w:rFonts w:cs="Arial"/>
          <w:szCs w:val="24"/>
          <w:lang w:val="en-GB"/>
        </w:rPr>
      </w:pPr>
      <w:r w:rsidRPr="00041AD9">
        <w:rPr>
          <w:rFonts w:cs="Arial"/>
          <w:szCs w:val="24"/>
          <w:lang w:val="en-GB"/>
        </w:rPr>
        <w:t>Amends the Schedule to Clause 43.01 (HO) as follows:</w:t>
      </w:r>
    </w:p>
    <w:p w14:paraId="4F0EF248" w14:textId="77777777" w:rsidR="00AE5AE2" w:rsidRPr="001101BF" w:rsidRDefault="00AE5AE2" w:rsidP="001101BF">
      <w:pPr>
        <w:pStyle w:val="Bullet2"/>
        <w:rPr>
          <w:color w:val="000000" w:themeColor="text1"/>
        </w:rPr>
      </w:pPr>
      <w:r w:rsidRPr="001101BF">
        <w:rPr>
          <w:color w:val="000000" w:themeColor="text1"/>
        </w:rPr>
        <w:t>Corrects the heritage place names and addresses for 11 heritage places.</w:t>
      </w:r>
    </w:p>
    <w:p w14:paraId="0B719618" w14:textId="77777777" w:rsidR="00AE5AE2" w:rsidRPr="001101BF" w:rsidRDefault="00AE5AE2" w:rsidP="001101BF">
      <w:pPr>
        <w:pStyle w:val="Bullet2"/>
        <w:rPr>
          <w:color w:val="000000" w:themeColor="text1"/>
        </w:rPr>
      </w:pPr>
      <w:r w:rsidRPr="001101BF">
        <w:rPr>
          <w:color w:val="000000" w:themeColor="text1"/>
        </w:rPr>
        <w:t>Amends the heritage place names and addresses for two heritage precincts (HO3 and HO10).</w:t>
      </w:r>
    </w:p>
    <w:p w14:paraId="1F97CA59" w14:textId="77777777" w:rsidR="00AE5AE2" w:rsidRPr="001101BF" w:rsidRDefault="00AE5AE2" w:rsidP="001101BF">
      <w:pPr>
        <w:pStyle w:val="Bullet2"/>
        <w:rPr>
          <w:color w:val="000000" w:themeColor="text1"/>
        </w:rPr>
      </w:pPr>
      <w:r w:rsidRPr="001101BF">
        <w:rPr>
          <w:color w:val="000000" w:themeColor="text1"/>
        </w:rPr>
        <w:t>Inserts one new heritage precinct (HO1005 – Hargreaves and Environs Commercial Precinct).</w:t>
      </w:r>
    </w:p>
    <w:p w14:paraId="1D3A7194" w14:textId="77777777" w:rsidR="00AE5AE2" w:rsidRPr="001101BF" w:rsidRDefault="00AE5AE2" w:rsidP="001101BF">
      <w:pPr>
        <w:pStyle w:val="Bullet2"/>
        <w:rPr>
          <w:color w:val="000000" w:themeColor="text1"/>
        </w:rPr>
      </w:pPr>
      <w:r w:rsidRPr="001101BF">
        <w:rPr>
          <w:color w:val="000000" w:themeColor="text1"/>
        </w:rPr>
        <w:t>Inserts a new individual heritage place at 391 Hargreaves Street, Bendigo (HO1006 – Former Sharland’s Surgery and Residence).</w:t>
      </w:r>
    </w:p>
    <w:p w14:paraId="66240BE9" w14:textId="77777777" w:rsidR="00AE5AE2" w:rsidRPr="001101BF" w:rsidRDefault="00AE5AE2" w:rsidP="001101BF">
      <w:pPr>
        <w:pStyle w:val="Bullet2"/>
        <w:rPr>
          <w:color w:val="000000" w:themeColor="text1"/>
        </w:rPr>
      </w:pPr>
      <w:r w:rsidRPr="001101BF">
        <w:rPr>
          <w:color w:val="000000" w:themeColor="text1"/>
        </w:rPr>
        <w:t xml:space="preserve">Inserts a new individual heritage place at 402 Hargreaves Street, Bendigo </w:t>
      </w:r>
      <w:r w:rsidRPr="001101BF">
        <w:rPr>
          <w:color w:val="000000" w:themeColor="text1"/>
        </w:rPr>
        <w:lastRenderedPageBreak/>
        <w:t>(HO1007 – Former Belfast Store).</w:t>
      </w:r>
    </w:p>
    <w:p w14:paraId="0FE9DEFC" w14:textId="77777777" w:rsidR="00AE5AE2" w:rsidRPr="001101BF" w:rsidRDefault="00AE5AE2" w:rsidP="001101BF">
      <w:pPr>
        <w:pStyle w:val="Bullet2"/>
        <w:rPr>
          <w:color w:val="000000" w:themeColor="text1"/>
        </w:rPr>
      </w:pPr>
      <w:r w:rsidRPr="001101BF">
        <w:rPr>
          <w:color w:val="000000" w:themeColor="text1"/>
        </w:rPr>
        <w:t>Inserts a new individual heritage place at 95-97 Mitchell Street, Bendigo (HO1008 – Former Carolin Warehouse and Store).</w:t>
      </w:r>
    </w:p>
    <w:p w14:paraId="1A1C2E42" w14:textId="77777777" w:rsidR="00AE5AE2" w:rsidRPr="001101BF" w:rsidRDefault="00AE5AE2" w:rsidP="001101BF">
      <w:pPr>
        <w:pStyle w:val="Bullet2"/>
        <w:rPr>
          <w:color w:val="000000" w:themeColor="text1"/>
        </w:rPr>
      </w:pPr>
      <w:r w:rsidRPr="001101BF">
        <w:rPr>
          <w:color w:val="000000" w:themeColor="text1"/>
        </w:rPr>
        <w:t>Inserts a new individual heritage place at 62-64 Queen Street, Bendigo (HO1009 – Former B.C.M. Butter Factory).</w:t>
      </w:r>
    </w:p>
    <w:p w14:paraId="4627631B" w14:textId="77777777" w:rsidR="00AE5AE2" w:rsidRPr="001101BF" w:rsidRDefault="00AE5AE2" w:rsidP="001101BF">
      <w:pPr>
        <w:pStyle w:val="Bullet2"/>
        <w:rPr>
          <w:color w:val="000000" w:themeColor="text1"/>
        </w:rPr>
      </w:pPr>
      <w:r w:rsidRPr="001101BF">
        <w:rPr>
          <w:color w:val="000000" w:themeColor="text1"/>
        </w:rPr>
        <w:t>Deletes the reference to the statement of significance for William Vahland Place under HO3 (Bendigo Civic Precinct, Lyttleton Terrace, Bendigo).</w:t>
      </w:r>
    </w:p>
    <w:p w14:paraId="7011E76F" w14:textId="77777777" w:rsidR="00AE5AE2" w:rsidRPr="001101BF" w:rsidRDefault="00AE5AE2" w:rsidP="001101BF">
      <w:pPr>
        <w:pStyle w:val="Bullet2"/>
        <w:rPr>
          <w:color w:val="000000" w:themeColor="text1"/>
        </w:rPr>
      </w:pPr>
      <w:r w:rsidRPr="001101BF">
        <w:rPr>
          <w:color w:val="000000" w:themeColor="text1"/>
        </w:rPr>
        <w:t>Applies internal alteration controls to HO190 (Plaza Theatre (former)) at 12 Mitchell Street and 1-3 Bath Lane, Bendigo.</w:t>
      </w:r>
    </w:p>
    <w:p w14:paraId="79E88B5A" w14:textId="06A2BCF8" w:rsidR="00AE5AE2" w:rsidRPr="007C02F6" w:rsidRDefault="00AE5AE2" w:rsidP="001101BF">
      <w:pPr>
        <w:pStyle w:val="Bulletlist"/>
        <w:rPr>
          <w:rFonts w:cs="Arial"/>
          <w:szCs w:val="24"/>
          <w:lang w:val="en-GB"/>
        </w:rPr>
      </w:pPr>
      <w:r w:rsidRPr="007C02F6">
        <w:rPr>
          <w:rFonts w:cs="Arial"/>
          <w:szCs w:val="24"/>
          <w:lang w:val="en-GB"/>
        </w:rPr>
        <w:t>Deletes Schedules 5, 12, 13 and 21 to Clause 43.02 (DDO5, DDO12, DDO13 and DDO21), which have been made redundant due to the introduction of Clause 37.08 (ACZ) and the associated Schedule 1.</w:t>
      </w:r>
    </w:p>
    <w:p w14:paraId="6936E99D" w14:textId="77777777" w:rsidR="00AE5AE2" w:rsidRPr="007C02F6" w:rsidRDefault="00AE5AE2" w:rsidP="001101BF">
      <w:pPr>
        <w:pStyle w:val="Bulletlist"/>
        <w:rPr>
          <w:rFonts w:cs="Arial"/>
          <w:szCs w:val="24"/>
          <w:lang w:val="en-GB"/>
        </w:rPr>
      </w:pPr>
      <w:r w:rsidRPr="007C02F6">
        <w:rPr>
          <w:rFonts w:cs="Arial"/>
          <w:szCs w:val="24"/>
          <w:lang w:val="en-GB"/>
        </w:rPr>
        <w:t>Amends Schedule 20 to Clause 43.02 (DDO20) to delete references to land to be rezoned to ACZ1 and update the High Street Boulevard Framework Plan.</w:t>
      </w:r>
    </w:p>
    <w:p w14:paraId="7AAD17DB" w14:textId="77777777" w:rsidR="00AE5AE2" w:rsidRPr="007C02F6" w:rsidRDefault="00AE5AE2" w:rsidP="001101BF">
      <w:pPr>
        <w:pStyle w:val="Bulletlist"/>
        <w:rPr>
          <w:rFonts w:cs="Arial"/>
          <w:szCs w:val="24"/>
          <w:lang w:val="en-GB"/>
        </w:rPr>
      </w:pPr>
      <w:r w:rsidRPr="007C02F6">
        <w:rPr>
          <w:rFonts w:cs="Arial"/>
          <w:szCs w:val="24"/>
          <w:lang w:val="en-GB"/>
        </w:rPr>
        <w:t>Amends Schedule 20 to Clause 43.04 (DPO20) to replace references to old precinct names.</w:t>
      </w:r>
    </w:p>
    <w:p w14:paraId="5D791502" w14:textId="77777777" w:rsidR="00AE5AE2" w:rsidRPr="007C02F6" w:rsidRDefault="00AE5AE2" w:rsidP="001101BF">
      <w:pPr>
        <w:pStyle w:val="Bulletlist"/>
        <w:rPr>
          <w:rFonts w:cs="Arial"/>
          <w:szCs w:val="24"/>
          <w:lang w:val="en-GB"/>
        </w:rPr>
      </w:pPr>
      <w:r w:rsidRPr="007C02F6">
        <w:rPr>
          <w:rFonts w:cs="Arial"/>
          <w:szCs w:val="24"/>
          <w:lang w:val="en-GB"/>
        </w:rPr>
        <w:t>Amends Schedule 1 to Clause 45.09 (PO1) to delete land with the Bendigo City Centre so that these parking provisions only apply to land known as the Bendigo City Centre Fringe.</w:t>
      </w:r>
    </w:p>
    <w:p w14:paraId="0927CFA9" w14:textId="77777777" w:rsidR="00AE5AE2" w:rsidRPr="007C02F6" w:rsidRDefault="00AE5AE2" w:rsidP="001101BF">
      <w:pPr>
        <w:pStyle w:val="Bulletlist"/>
        <w:rPr>
          <w:rFonts w:cs="Arial"/>
          <w:szCs w:val="24"/>
          <w:lang w:val="en-GB"/>
        </w:rPr>
      </w:pPr>
      <w:r w:rsidRPr="007C02F6">
        <w:rPr>
          <w:rFonts w:cs="Arial"/>
          <w:szCs w:val="24"/>
          <w:lang w:val="en-GB"/>
        </w:rPr>
        <w:t>Inserts a new Schedule 3 to Clause 45.09 (PO3) to apply to the Bendigo City Centre, including a requirement that a permit is not required to reduce (including to zero) the number of car parking spaces required under Clause 52.06-5.</w:t>
      </w:r>
    </w:p>
    <w:p w14:paraId="57564961" w14:textId="00D047D4" w:rsidR="00AE5AE2" w:rsidRPr="007C02F6" w:rsidRDefault="00AE5AE2" w:rsidP="001101BF">
      <w:pPr>
        <w:pStyle w:val="Bulletlist"/>
        <w:rPr>
          <w:rFonts w:cs="Arial"/>
          <w:szCs w:val="24"/>
          <w:lang w:val="en-GB"/>
        </w:rPr>
      </w:pPr>
      <w:r w:rsidRPr="007C02F6">
        <w:rPr>
          <w:rFonts w:cs="Arial"/>
          <w:szCs w:val="24"/>
          <w:lang w:val="en-GB"/>
        </w:rPr>
        <w:t xml:space="preserve">Amends the Schedule to Clause 72.04 (Incorporated documents) to insert </w:t>
      </w:r>
      <w:r w:rsidR="00301513">
        <w:rPr>
          <w:rFonts w:cs="Arial"/>
          <w:szCs w:val="24"/>
          <w:lang w:val="en-GB"/>
        </w:rPr>
        <w:t>eight</w:t>
      </w:r>
      <w:r w:rsidRPr="007C02F6">
        <w:rPr>
          <w:rFonts w:cs="Arial"/>
          <w:szCs w:val="24"/>
          <w:lang w:val="en-GB"/>
        </w:rPr>
        <w:t xml:space="preserve"> new statements of significance for three heritage precincts (amended HO3, amended HO10 and new HO1005)</w:t>
      </w:r>
      <w:r w:rsidR="00301513">
        <w:rPr>
          <w:rFonts w:cs="Arial"/>
          <w:szCs w:val="24"/>
          <w:lang w:val="en-GB"/>
        </w:rPr>
        <w:t>, one existing individual heritage place (HO190)</w:t>
      </w:r>
      <w:r w:rsidRPr="007C02F6">
        <w:rPr>
          <w:rFonts w:cs="Arial"/>
          <w:szCs w:val="24"/>
          <w:lang w:val="en-GB"/>
        </w:rPr>
        <w:t xml:space="preserve"> and four new individual heritage places (HO1006, HO1007, HO1008 and HO1009) as incorporated documents.</w:t>
      </w:r>
    </w:p>
    <w:p w14:paraId="2449F6EA" w14:textId="70B56315" w:rsidR="00AE5AE2" w:rsidRPr="007C02F6" w:rsidRDefault="00AE5AE2" w:rsidP="001101BF">
      <w:pPr>
        <w:pStyle w:val="Bulletlist"/>
        <w:rPr>
          <w:rFonts w:cs="Arial"/>
          <w:szCs w:val="24"/>
          <w:lang w:val="en-GB"/>
        </w:rPr>
      </w:pPr>
      <w:r w:rsidRPr="007C02F6">
        <w:rPr>
          <w:rFonts w:cs="Arial"/>
          <w:szCs w:val="24"/>
          <w:lang w:val="en-GB"/>
        </w:rPr>
        <w:t xml:space="preserve">Amends the </w:t>
      </w:r>
      <w:r w:rsidR="00C54897">
        <w:rPr>
          <w:rFonts w:cs="Arial"/>
          <w:szCs w:val="24"/>
          <w:lang w:val="en-GB"/>
        </w:rPr>
        <w:t xml:space="preserve">list of background documents in the </w:t>
      </w:r>
      <w:r w:rsidRPr="007C02F6">
        <w:rPr>
          <w:rFonts w:cs="Arial"/>
          <w:szCs w:val="24"/>
          <w:lang w:val="en-GB"/>
        </w:rPr>
        <w:t>Schedule to Clause 72.08 (Background documents) to insert the following:</w:t>
      </w:r>
    </w:p>
    <w:p w14:paraId="44923F55" w14:textId="77777777" w:rsidR="00AE5AE2" w:rsidRPr="001101BF" w:rsidRDefault="00AE5AE2" w:rsidP="001101BF">
      <w:pPr>
        <w:pStyle w:val="Bullet2"/>
        <w:rPr>
          <w:color w:val="000000" w:themeColor="text1"/>
        </w:rPr>
      </w:pPr>
      <w:r w:rsidRPr="001101BF">
        <w:rPr>
          <w:i/>
          <w:color w:val="000000" w:themeColor="text1"/>
        </w:rPr>
        <w:t>Bendigo City Centre Heritage Study Stage 2: Precincts 2022</w:t>
      </w:r>
      <w:r w:rsidRPr="001101BF">
        <w:rPr>
          <w:color w:val="000000" w:themeColor="text1"/>
        </w:rPr>
        <w:t xml:space="preserve"> (RBA Architects, 2022)</w:t>
      </w:r>
    </w:p>
    <w:p w14:paraId="39946EEE" w14:textId="77777777" w:rsidR="00AE5AE2" w:rsidRPr="001101BF" w:rsidRDefault="00AE5AE2" w:rsidP="001101BF">
      <w:pPr>
        <w:pStyle w:val="Bullet2"/>
        <w:rPr>
          <w:color w:val="000000" w:themeColor="text1"/>
        </w:rPr>
      </w:pPr>
      <w:r w:rsidRPr="001101BF">
        <w:rPr>
          <w:i/>
          <w:color w:val="000000" w:themeColor="text1"/>
        </w:rPr>
        <w:t>Bendigo City Centre Parking Futures Action Plan</w:t>
      </w:r>
      <w:r w:rsidRPr="001101BF">
        <w:rPr>
          <w:color w:val="000000" w:themeColor="text1"/>
        </w:rPr>
        <w:t xml:space="preserve"> (City of Greater Bendigo, 2020)</w:t>
      </w:r>
    </w:p>
    <w:p w14:paraId="0E706C24" w14:textId="77777777" w:rsidR="00AE5AE2" w:rsidRPr="001101BF" w:rsidRDefault="00AE5AE2" w:rsidP="001101BF">
      <w:pPr>
        <w:pStyle w:val="Bullet2"/>
        <w:rPr>
          <w:color w:val="000000" w:themeColor="text1"/>
        </w:rPr>
      </w:pPr>
      <w:r w:rsidRPr="001101BF">
        <w:rPr>
          <w:i/>
          <w:color w:val="000000" w:themeColor="text1"/>
        </w:rPr>
        <w:t>Bendigo City Centre Plan</w:t>
      </w:r>
      <w:r w:rsidRPr="001101BF">
        <w:rPr>
          <w:color w:val="000000" w:themeColor="text1"/>
        </w:rPr>
        <w:t xml:space="preserve"> (City of Greater Bendigo, May 2020)</w:t>
      </w:r>
    </w:p>
    <w:p w14:paraId="09F16617" w14:textId="77777777" w:rsidR="00AE5AE2" w:rsidRPr="001101BF" w:rsidRDefault="00AE5AE2" w:rsidP="001101BF">
      <w:pPr>
        <w:pStyle w:val="Bullet2"/>
        <w:rPr>
          <w:color w:val="000000" w:themeColor="text1"/>
        </w:rPr>
      </w:pPr>
      <w:r w:rsidRPr="001101BF">
        <w:rPr>
          <w:i/>
          <w:color w:val="000000" w:themeColor="text1"/>
        </w:rPr>
        <w:t>Bendigo City Centre Urban Design Framework</w:t>
      </w:r>
      <w:r w:rsidRPr="001101BF">
        <w:rPr>
          <w:color w:val="000000" w:themeColor="text1"/>
        </w:rPr>
        <w:t xml:space="preserve"> (City of Greater Bendigo, November 2022)</w:t>
      </w:r>
    </w:p>
    <w:p w14:paraId="0CE63F00" w14:textId="77777777" w:rsidR="00AE5AE2" w:rsidRPr="00C1757C" w:rsidRDefault="00AE5AE2" w:rsidP="00EA00C7">
      <w:pPr>
        <w:pStyle w:val="Bulletlist"/>
        <w:rPr>
          <w:rFonts w:cs="Arial"/>
          <w:szCs w:val="24"/>
          <w:lang w:val="en-GB"/>
        </w:rPr>
      </w:pPr>
      <w:r w:rsidRPr="00C1757C">
        <w:rPr>
          <w:rFonts w:cs="Arial"/>
          <w:szCs w:val="24"/>
          <w:lang w:val="en-GB"/>
        </w:rPr>
        <w:t>Amends the Schedule to Clause 74.01 (Application of zones, overlays and provisions) to insert a new reference to the ACZ in the list of application of zones, overlays and provisions.</w:t>
      </w:r>
    </w:p>
    <w:p w14:paraId="780B90C7" w14:textId="77A16053" w:rsidR="00AE5AE2" w:rsidRPr="00C1757C" w:rsidRDefault="00AE5AE2" w:rsidP="00EA00C7">
      <w:pPr>
        <w:pStyle w:val="Bulletlist"/>
        <w:rPr>
          <w:rFonts w:cs="Arial"/>
          <w:szCs w:val="24"/>
          <w:lang w:val="en-GB"/>
        </w:rPr>
      </w:pPr>
      <w:r w:rsidRPr="00C1757C">
        <w:rPr>
          <w:rFonts w:cs="Arial"/>
          <w:szCs w:val="24"/>
          <w:lang w:val="en-GB"/>
        </w:rPr>
        <w:lastRenderedPageBreak/>
        <w:t xml:space="preserve">Amends the Schedule to Clause 74.02 (Further strategic work) to </w:t>
      </w:r>
      <w:r w:rsidR="00D423BA">
        <w:rPr>
          <w:rFonts w:cs="Arial"/>
          <w:szCs w:val="24"/>
          <w:lang w:val="en-GB"/>
        </w:rPr>
        <w:t xml:space="preserve">update the list of </w:t>
      </w:r>
      <w:r w:rsidRPr="00C1757C">
        <w:rPr>
          <w:rFonts w:cs="Arial"/>
          <w:szCs w:val="24"/>
          <w:lang w:val="en-GB"/>
        </w:rPr>
        <w:t>further strategic work.</w:t>
      </w:r>
    </w:p>
    <w:p w14:paraId="24F4A077" w14:textId="5EBEB1B6" w:rsidR="00C02DF1" w:rsidRPr="009564F6" w:rsidRDefault="006533E1" w:rsidP="00AE5AE2">
      <w:pPr>
        <w:widowControl/>
        <w:autoSpaceDE/>
        <w:autoSpaceDN/>
        <w:spacing w:after="0" w:line="240" w:lineRule="auto"/>
        <w:rPr>
          <w:rFonts w:cs="Arial"/>
          <w:sz w:val="20"/>
        </w:rPr>
      </w:pPr>
      <w:r w:rsidRPr="009564F6">
        <w:rPr>
          <w:rFonts w:cs="Arial"/>
          <w:szCs w:val="24"/>
          <w:lang w:val="en-GB"/>
        </w:rPr>
        <w:t xml:space="preserve"> </w:t>
      </w:r>
    </w:p>
    <w:bookmarkEnd w:id="0"/>
    <w:p w14:paraId="020F605D" w14:textId="77777777" w:rsidR="00A15C2E" w:rsidRPr="00224E35" w:rsidRDefault="00A15C2E" w:rsidP="00224E35">
      <w:pPr>
        <w:pStyle w:val="Heading2"/>
      </w:pPr>
      <w:r w:rsidRPr="00224E35">
        <w:t>Strategic assessment of the amendment</w:t>
      </w:r>
    </w:p>
    <w:p w14:paraId="7F027D5B" w14:textId="77777777" w:rsidR="00A15C2E" w:rsidRPr="003A4991" w:rsidRDefault="00A15C2E" w:rsidP="003A4991">
      <w:pPr>
        <w:pStyle w:val="Heading3"/>
      </w:pPr>
      <w:r w:rsidRPr="003A4991">
        <w:t>Why is the amendment required?</w:t>
      </w:r>
    </w:p>
    <w:p w14:paraId="4549A7E7" w14:textId="77777777" w:rsidR="0061117E" w:rsidRPr="008C0E5E" w:rsidRDefault="0061117E" w:rsidP="008C0E5E">
      <w:pPr>
        <w:rPr>
          <w:rFonts w:cs="Arial"/>
          <w:b/>
          <w:szCs w:val="24"/>
        </w:rPr>
      </w:pPr>
      <w:r w:rsidRPr="008C0E5E">
        <w:rPr>
          <w:rFonts w:cs="Arial"/>
          <w:b/>
          <w:szCs w:val="24"/>
        </w:rPr>
        <w:t>Overview</w:t>
      </w:r>
    </w:p>
    <w:p w14:paraId="35BB3125" w14:textId="32595334" w:rsidR="0061117E" w:rsidRPr="00C62530" w:rsidRDefault="0061117E" w:rsidP="00C62530">
      <w:r w:rsidRPr="00C62530">
        <w:t xml:space="preserve">The </w:t>
      </w:r>
      <w:r w:rsidR="00821CD7">
        <w:t xml:space="preserve">proposed </w:t>
      </w:r>
      <w:r w:rsidRPr="00C62530">
        <w:t xml:space="preserve">amendment is required to implement the </w:t>
      </w:r>
      <w:r w:rsidRPr="00C62530">
        <w:rPr>
          <w:i/>
        </w:rPr>
        <w:t>Bendigo City Centre Plan</w:t>
      </w:r>
      <w:r w:rsidRPr="00C62530">
        <w:t xml:space="preserve"> </w:t>
      </w:r>
      <w:r w:rsidR="00CD2098" w:rsidRPr="00C62530">
        <w:t xml:space="preserve">(2020) </w:t>
      </w:r>
      <w:r w:rsidRPr="00C62530">
        <w:t xml:space="preserve">which was adopted by Council on 6 May 2020 following public exhibition of the draft document in September/October 2019. </w:t>
      </w:r>
    </w:p>
    <w:p w14:paraId="69592551" w14:textId="2DE5BDA9" w:rsidR="0061117E" w:rsidRPr="00923BF3" w:rsidRDefault="0061117E" w:rsidP="00923BF3">
      <w:r w:rsidRPr="00923BF3">
        <w:t xml:space="preserve">The </w:t>
      </w:r>
      <w:r w:rsidR="00513D37">
        <w:t xml:space="preserve">proposed amendment </w:t>
      </w:r>
      <w:r w:rsidRPr="00923BF3">
        <w:t xml:space="preserve">also actions the implementation of: </w:t>
      </w:r>
    </w:p>
    <w:p w14:paraId="7227D13A" w14:textId="77777777" w:rsidR="00F863AD" w:rsidRPr="00F863AD" w:rsidRDefault="00F863AD" w:rsidP="00F863AD">
      <w:pPr>
        <w:pStyle w:val="Bulletlist"/>
        <w:rPr>
          <w:rFonts w:cs="Arial"/>
          <w:szCs w:val="24"/>
          <w:lang w:val="en-GB"/>
        </w:rPr>
      </w:pPr>
      <w:r w:rsidRPr="00F863AD">
        <w:rPr>
          <w:rFonts w:cs="Arial"/>
          <w:i/>
          <w:szCs w:val="24"/>
          <w:lang w:val="en-GB"/>
        </w:rPr>
        <w:t>Bendigo City Centre Heritage Study Stage 2: Precincts 2022</w:t>
      </w:r>
      <w:r w:rsidRPr="00F863AD">
        <w:rPr>
          <w:rFonts w:cs="Arial"/>
          <w:szCs w:val="24"/>
          <w:lang w:val="en-GB"/>
        </w:rPr>
        <w:t xml:space="preserve"> (RBA Architects, 2022)</w:t>
      </w:r>
    </w:p>
    <w:p w14:paraId="7C927FC6" w14:textId="77777777" w:rsidR="00F863AD" w:rsidRPr="00F863AD" w:rsidRDefault="00F863AD" w:rsidP="00F863AD">
      <w:pPr>
        <w:pStyle w:val="Bulletlist"/>
        <w:rPr>
          <w:rFonts w:cs="Arial"/>
          <w:szCs w:val="24"/>
          <w:lang w:val="en-GB"/>
        </w:rPr>
      </w:pPr>
      <w:r w:rsidRPr="00F863AD">
        <w:rPr>
          <w:rFonts w:cs="Arial"/>
          <w:i/>
          <w:szCs w:val="24"/>
          <w:lang w:val="en-GB"/>
        </w:rPr>
        <w:t>Bendigo City Centre Parking Futures Action</w:t>
      </w:r>
      <w:r w:rsidRPr="00F863AD">
        <w:rPr>
          <w:rFonts w:cs="Arial"/>
          <w:szCs w:val="24"/>
          <w:lang w:val="en-GB"/>
        </w:rPr>
        <w:t xml:space="preserve"> Plan (City of Greater Bendigo, 2020)</w:t>
      </w:r>
    </w:p>
    <w:p w14:paraId="0614266A" w14:textId="77777777" w:rsidR="00F863AD" w:rsidRPr="00F863AD" w:rsidRDefault="00F863AD" w:rsidP="00F863AD">
      <w:pPr>
        <w:pStyle w:val="Bulletlist"/>
        <w:rPr>
          <w:rFonts w:cs="Arial"/>
          <w:szCs w:val="24"/>
          <w:lang w:val="en-GB"/>
        </w:rPr>
      </w:pPr>
      <w:r w:rsidRPr="00F863AD">
        <w:rPr>
          <w:rFonts w:cs="Arial"/>
          <w:i/>
          <w:szCs w:val="24"/>
          <w:lang w:val="en-GB"/>
        </w:rPr>
        <w:t>Bendigo City Centre Urban Design Framework</w:t>
      </w:r>
      <w:r w:rsidRPr="00F863AD">
        <w:rPr>
          <w:rFonts w:cs="Arial"/>
          <w:szCs w:val="24"/>
          <w:lang w:val="en-GB"/>
        </w:rPr>
        <w:t xml:space="preserve"> (City of Greater Bendigo, November 2022)</w:t>
      </w:r>
    </w:p>
    <w:p w14:paraId="170E4FEF" w14:textId="77777777" w:rsidR="0059611A" w:rsidRDefault="006F7603" w:rsidP="008C0E5E">
      <w:pPr>
        <w:rPr>
          <w:rFonts w:cs="Arial"/>
          <w:b/>
          <w:szCs w:val="24"/>
        </w:rPr>
      </w:pPr>
      <w:r w:rsidRPr="0059611A">
        <w:rPr>
          <w:rFonts w:cs="Arial"/>
          <w:b/>
          <w:szCs w:val="24"/>
        </w:rPr>
        <w:t>Background</w:t>
      </w:r>
    </w:p>
    <w:p w14:paraId="5923E4CA" w14:textId="7FA5CF4A" w:rsidR="006F7603" w:rsidRDefault="006F7603" w:rsidP="008C0E5E">
      <w:r w:rsidRPr="008C0E5E">
        <w:t>The Bendigo City Centre (the ‘City Centre’) is Victoria’s largest commercial precinct and activity centre north of the Great Dividing Range.  With a regional catchment of around 300,000 people</w:t>
      </w:r>
      <w:r w:rsidR="008C0E5E">
        <w:t>,</w:t>
      </w:r>
      <w:r w:rsidRPr="008C0E5E">
        <w:t xml:space="preserve"> it is home to over 1,000 businesses, around 11,000 jobs and approximately 550,000 square metres of commercial floorspace. Almost one quarter of all employment across Greater Bendigo is currently contained within the City Centre, with an economic output of more than $3.3 billion.</w:t>
      </w:r>
    </w:p>
    <w:p w14:paraId="7ADBCFF4" w14:textId="2327D917" w:rsidR="00197A05" w:rsidRDefault="00B52F23" w:rsidP="00197A05">
      <w:r w:rsidRPr="008C0E5E">
        <w:t xml:space="preserve">The City Centre has grown and evolved considerably since it was first laid out in 1854. </w:t>
      </w:r>
      <w:r w:rsidR="00197A05" w:rsidRPr="007E35A8">
        <w:t xml:space="preserve">Within the </w:t>
      </w:r>
      <w:r w:rsidR="00197A05">
        <w:t xml:space="preserve">Bendigo City Centre </w:t>
      </w:r>
      <w:r w:rsidR="00197A05" w:rsidRPr="007E35A8">
        <w:t>the number of jobs in 2021 was 15,120. The forecast growth within Central Bendigo has been calculated as 23</w:t>
      </w:r>
      <w:r w:rsidR="00197A05">
        <w:t>,</w:t>
      </w:r>
      <w:r w:rsidR="00197A05" w:rsidRPr="007E35A8">
        <w:t>143 (base</w:t>
      </w:r>
      <w:r w:rsidR="00197A05">
        <w:t xml:space="preserve"> case scenario</w:t>
      </w:r>
      <w:r w:rsidR="00197A05" w:rsidRPr="007E35A8">
        <w:t>) and 26,065 (upside</w:t>
      </w:r>
      <w:r w:rsidR="00197A05">
        <w:t xml:space="preserve"> scenario</w:t>
      </w:r>
      <w:r w:rsidR="00197A05" w:rsidRPr="007E35A8">
        <w:t>).</w:t>
      </w:r>
    </w:p>
    <w:p w14:paraId="68871CE9" w14:textId="5DC5CDA8" w:rsidR="00197A05" w:rsidRDefault="00197A05" w:rsidP="00197A05">
      <w:r>
        <w:t xml:space="preserve">Based on forecast jobs, by 2051 Central Bendigo will require: 220,045 sqm employment floorspace (base case scenario) and 299,176 sqm employment floorspace (upside case scenario). This is based on a projected average floorspace requirement of 28 sqm per job.  </w:t>
      </w:r>
    </w:p>
    <w:p w14:paraId="19479259" w14:textId="4F70AD02" w:rsidR="00197A05" w:rsidRDefault="00C565D3" w:rsidP="00197A05">
      <w:r>
        <w:t>Supporting background work developed by SGS Planning and Economics</w:t>
      </w:r>
      <w:r w:rsidR="00197A05">
        <w:t xml:space="preserve"> demonstrates that there is a projected longer term (up to 30 years) demand for floorspace in the Bendigo City Centre that must be accommodated by strategic planning and consequential updates to planning controls, as </w:t>
      </w:r>
      <w:r>
        <w:t>described in</w:t>
      </w:r>
      <w:r w:rsidR="00197A05">
        <w:t xml:space="preserve"> C279gben.</w:t>
      </w:r>
    </w:p>
    <w:p w14:paraId="69C617DA" w14:textId="77777777" w:rsidR="00197A05" w:rsidRDefault="00197A05" w:rsidP="00197A05">
      <w:r>
        <w:t>The assessment also demonstrates that built form capacity provided by the Urban Design Framework (</w:t>
      </w:r>
      <w:r w:rsidRPr="01F01ADE">
        <w:rPr>
          <w:i/>
          <w:iCs/>
        </w:rPr>
        <w:t>UDF</w:t>
      </w:r>
      <w:r>
        <w:t xml:space="preserve">) in total is more than adequate to meet projected floorspace demand.  When limited to/focussed on strategic sites only, the </w:t>
      </w:r>
      <w:r>
        <w:lastRenderedPageBreak/>
        <w:t>assessment shows capacity to be sufficient to accommodate forecast growth in floorspace according to a base case scenario, and to be slightly undersupplied according to an upside case scenario.  In the latter case, the considerable additional capacity across the balance of City Centre sites is considered ample to meet total projected demand.</w:t>
      </w:r>
    </w:p>
    <w:p w14:paraId="6F8DF6E3" w14:textId="77777777" w:rsidR="00197A05" w:rsidRDefault="00197A05" w:rsidP="00197A05">
      <w:r>
        <w:t xml:space="preserve">The approximate equivalence between the </w:t>
      </w:r>
      <w:r w:rsidRPr="01F01ADE">
        <w:rPr>
          <w:i/>
          <w:iCs/>
        </w:rPr>
        <w:t>UDF</w:t>
      </w:r>
      <w:r>
        <w:t xml:space="preserve"> and both the base case floorspace demand (slight overprovision) and the upside case (slight under provision) is significant.  Given that the identified strategic sites represent the probable focus for development and new floorspace provision over the next several decades, the assessment demonstrates that the proposed planning controls, based in part of the recommendations of the </w:t>
      </w:r>
      <w:r w:rsidRPr="01F01ADE">
        <w:rPr>
          <w:i/>
          <w:iCs/>
        </w:rPr>
        <w:t>UDF</w:t>
      </w:r>
      <w:r>
        <w:t>, are a well-balanced and appropriate response to preserving the intrinsic urban form qualities of Bendigo City Centre and to the mixed development opportunities and constraints that this urban environment presents.</w:t>
      </w:r>
    </w:p>
    <w:p w14:paraId="510D0521" w14:textId="207AD41B" w:rsidR="006F7603" w:rsidRDefault="003E6829" w:rsidP="008C0E5E">
      <w:r>
        <w:t xml:space="preserve">Recent </w:t>
      </w:r>
      <w:r w:rsidR="006F7603" w:rsidRPr="008C0E5E">
        <w:t xml:space="preserve">investment </w:t>
      </w:r>
      <w:r w:rsidR="00120B4C">
        <w:t xml:space="preserve">has occurred </w:t>
      </w:r>
      <w:r w:rsidR="006F7603" w:rsidRPr="008C0E5E">
        <w:t xml:space="preserve">in the northern part of the city centre, led by public sector developments including the new Bendigo Law Courts, Bendigo TAFE and </w:t>
      </w:r>
      <w:r w:rsidR="00120B4C">
        <w:t xml:space="preserve">the </w:t>
      </w:r>
      <w:proofErr w:type="spellStart"/>
      <w:r w:rsidR="00120B4C">
        <w:t>Galkangu</w:t>
      </w:r>
      <w:proofErr w:type="spellEnd"/>
      <w:r w:rsidR="00120B4C">
        <w:t xml:space="preserve"> </w:t>
      </w:r>
      <w:proofErr w:type="spellStart"/>
      <w:r w:rsidR="003F056E" w:rsidRPr="008C0E5E">
        <w:t>GovHub</w:t>
      </w:r>
      <w:proofErr w:type="spellEnd"/>
      <w:r w:rsidR="00926418">
        <w:t xml:space="preserve">. The </w:t>
      </w:r>
      <w:r w:rsidR="006F7603" w:rsidRPr="008C0E5E">
        <w:t xml:space="preserve">private sector is also busy delivering on the community’s vision for the City Centre, with a number of mixed use buildings either under construction, soon to commence or otherwise with planning approval in place. </w:t>
      </w:r>
    </w:p>
    <w:p w14:paraId="7B8AA477" w14:textId="77777777" w:rsidR="006F7603" w:rsidRPr="00D63C7B" w:rsidRDefault="006F7603" w:rsidP="00D63C7B">
      <w:pPr>
        <w:rPr>
          <w:rFonts w:cs="Arial"/>
          <w:b/>
          <w:szCs w:val="24"/>
        </w:rPr>
      </w:pPr>
      <w:r w:rsidRPr="00D63C7B">
        <w:rPr>
          <w:rFonts w:cs="Arial"/>
          <w:b/>
          <w:szCs w:val="24"/>
        </w:rPr>
        <w:t>Bendigo City Centre Plan 2020</w:t>
      </w:r>
    </w:p>
    <w:p w14:paraId="10D47580" w14:textId="77777777" w:rsidR="006F7603" w:rsidRPr="00D63C7B" w:rsidRDefault="006F7603" w:rsidP="00D63C7B">
      <w:r w:rsidRPr="00D63C7B">
        <w:t xml:space="preserve">The </w:t>
      </w:r>
      <w:r w:rsidRPr="00D63C7B">
        <w:rPr>
          <w:i/>
        </w:rPr>
        <w:t>Bendigo City Centre Plan</w:t>
      </w:r>
      <w:r w:rsidRPr="00D63C7B">
        <w:t xml:space="preserve"> (CCP) is a strategic plan to help manage, influence and facilitate change, in accordance with the latest information, academic research, Council-adopted policies and State planning policy directions. It updates and replaces the </w:t>
      </w:r>
      <w:r w:rsidRPr="00D63C7B">
        <w:rPr>
          <w:i/>
        </w:rPr>
        <w:t>Bendigo CBD Plan 2005</w:t>
      </w:r>
      <w:r w:rsidRPr="00D63C7B">
        <w:t>.</w:t>
      </w:r>
    </w:p>
    <w:p w14:paraId="0D8BE06D" w14:textId="72BD839A" w:rsidR="006F7603" w:rsidRPr="00702454" w:rsidRDefault="006F7603" w:rsidP="00702454">
      <w:r w:rsidRPr="00702454">
        <w:t>Structured around four key themes:</w:t>
      </w:r>
    </w:p>
    <w:p w14:paraId="4A2D736A" w14:textId="77777777" w:rsidR="006F7603" w:rsidRPr="00702454" w:rsidRDefault="006F7603" w:rsidP="00702454">
      <w:r w:rsidRPr="002B5BF6">
        <w:t>Theme 1</w:t>
      </w:r>
      <w:r w:rsidRPr="00702454">
        <w:t xml:space="preserve"> – Reinforce the role of the City Centre  </w:t>
      </w:r>
    </w:p>
    <w:p w14:paraId="08F35CF5" w14:textId="77777777" w:rsidR="006F7603" w:rsidRPr="00702454" w:rsidRDefault="006F7603" w:rsidP="00702454">
      <w:r w:rsidRPr="00702454">
        <w:t xml:space="preserve">Theme 2 – A contemporary city with heritage foundations  </w:t>
      </w:r>
    </w:p>
    <w:p w14:paraId="63B0506A" w14:textId="77777777" w:rsidR="006F7603" w:rsidRPr="00702454" w:rsidRDefault="006F7603" w:rsidP="00702454">
      <w:r w:rsidRPr="00702454">
        <w:t xml:space="preserve">Theme 3 – Creating an Accessible Place  </w:t>
      </w:r>
    </w:p>
    <w:p w14:paraId="3E3B24A3" w14:textId="77777777" w:rsidR="006F7603" w:rsidRPr="00702454" w:rsidRDefault="006F7603" w:rsidP="00702454">
      <w:r w:rsidRPr="00702454">
        <w:t xml:space="preserve">Theme 4 – Designing a High Quality Environment  </w:t>
      </w:r>
    </w:p>
    <w:p w14:paraId="41F197B2" w14:textId="3B5D15B2" w:rsidR="006F7603" w:rsidRPr="00702454" w:rsidRDefault="006F7603" w:rsidP="00702454">
      <w:r w:rsidRPr="00702454">
        <w:t xml:space="preserve">The </w:t>
      </w:r>
      <w:r w:rsidR="00590F1E">
        <w:t>p</w:t>
      </w:r>
      <w:r w:rsidRPr="00702454">
        <w:t xml:space="preserve">lan recommends built form directions, namely building height and setback arrangements, and includes an implementation matrix comprising 18 actions. The </w:t>
      </w:r>
      <w:r w:rsidR="00DD7604">
        <w:t>plan</w:t>
      </w:r>
      <w:r w:rsidRPr="00702454">
        <w:t xml:space="preserve"> places a strong focus on facilitating medium scale mixed use buildings similar to the traditional historic buildings of the City Centre and similar to those that have recently been built, are under construction, or have been granted planning approval. There is also considerable opportunity to continue the adaptive re-use of upper levels of heritage buildings, which is something that started around the turn of the century. </w:t>
      </w:r>
    </w:p>
    <w:p w14:paraId="6C556D6A" w14:textId="156C0C3B" w:rsidR="006F7603" w:rsidRPr="00702454" w:rsidRDefault="006F7603" w:rsidP="00702454">
      <w:r w:rsidRPr="00702454">
        <w:t xml:space="preserve">The </w:t>
      </w:r>
      <w:r w:rsidR="000567F2">
        <w:t xml:space="preserve">plan </w:t>
      </w:r>
      <w:r w:rsidRPr="00702454">
        <w:t xml:space="preserve">recognises that this reuse trend has slowed due to the barriers to undertaking such projects, in terms of infrastructure limits, restrictive planning controls (particularly around parking) and building regulation issues but that some of </w:t>
      </w:r>
      <w:r w:rsidRPr="00702454">
        <w:lastRenderedPageBreak/>
        <w:t xml:space="preserve">the City’s more challenging development sites might now become viable. The </w:t>
      </w:r>
      <w:r w:rsidR="009F57CE">
        <w:t>plan</w:t>
      </w:r>
      <w:r w:rsidRPr="00702454">
        <w:t xml:space="preserve"> identifies changes that are needed to facilitate this type of development some of which are planning related while others are infrastructure related.</w:t>
      </w:r>
    </w:p>
    <w:p w14:paraId="2FD51CDA" w14:textId="58DC4A23" w:rsidR="006F7603" w:rsidRPr="00702454" w:rsidRDefault="006F7603" w:rsidP="00702454">
      <w:r w:rsidRPr="00702454">
        <w:t xml:space="preserve">To implement the </w:t>
      </w:r>
      <w:r w:rsidR="00F84FD8">
        <w:t>p</w:t>
      </w:r>
      <w:r w:rsidRPr="00702454">
        <w:t xml:space="preserve">lan the amendment </w:t>
      </w:r>
      <w:r w:rsidR="00EF3A31">
        <w:t xml:space="preserve">is required to introduce </w:t>
      </w:r>
      <w:r w:rsidRPr="00702454">
        <w:t xml:space="preserve">land use and development controls by </w:t>
      </w:r>
      <w:r w:rsidR="00D00235">
        <w:t xml:space="preserve">rezoning land to </w:t>
      </w:r>
      <w:r w:rsidRPr="00702454">
        <w:t>a new Activity Centre Zone</w:t>
      </w:r>
      <w:r w:rsidR="00D00235">
        <w:t xml:space="preserve"> </w:t>
      </w:r>
      <w:r w:rsidRPr="00702454">
        <w:t xml:space="preserve">1 to land within the </w:t>
      </w:r>
      <w:r w:rsidR="00F06584">
        <w:t>C</w:t>
      </w:r>
      <w:r w:rsidRPr="00702454">
        <w:t xml:space="preserve">ity </w:t>
      </w:r>
      <w:r w:rsidR="00F06584">
        <w:t>C</w:t>
      </w:r>
      <w:r w:rsidRPr="00702454">
        <w:t xml:space="preserve">entre.  The new zone will be supported by </w:t>
      </w:r>
      <w:r w:rsidR="00857F6C">
        <w:t xml:space="preserve">a </w:t>
      </w:r>
      <w:r w:rsidRPr="00702454">
        <w:t xml:space="preserve">specific schedule drawn from the Urban Design Framework </w:t>
      </w:r>
      <w:r w:rsidR="00A13B9E">
        <w:t>(UDF)</w:t>
      </w:r>
      <w:r w:rsidR="00540CBE">
        <w:t>,</w:t>
      </w:r>
      <w:r w:rsidR="00A13B9E">
        <w:t xml:space="preserve"> </w:t>
      </w:r>
      <w:r w:rsidRPr="00702454">
        <w:t xml:space="preserve">which will also be included as a background document in the Greater Bendigo Planning Scheme. </w:t>
      </w:r>
    </w:p>
    <w:p w14:paraId="1DC09B3C" w14:textId="77777777" w:rsidR="006F7603" w:rsidRPr="0026234F" w:rsidRDefault="006F7603" w:rsidP="0026234F">
      <w:pPr>
        <w:rPr>
          <w:rFonts w:cs="Arial"/>
          <w:b/>
          <w:szCs w:val="24"/>
        </w:rPr>
      </w:pPr>
      <w:r w:rsidRPr="0026234F">
        <w:rPr>
          <w:rFonts w:cs="Arial"/>
          <w:b/>
          <w:szCs w:val="24"/>
        </w:rPr>
        <w:t xml:space="preserve">Bendigo City Centre Parking Futures Action Plan 2020 </w:t>
      </w:r>
    </w:p>
    <w:p w14:paraId="6DD71983" w14:textId="53540CF8" w:rsidR="004033FF" w:rsidRDefault="006F7603" w:rsidP="004033FF">
      <w:pPr>
        <w:rPr>
          <w:szCs w:val="24"/>
        </w:rPr>
      </w:pPr>
      <w:r w:rsidRPr="002B5BF6">
        <w:t xml:space="preserve">The </w:t>
      </w:r>
      <w:r w:rsidRPr="002B5BF6">
        <w:rPr>
          <w:i/>
        </w:rPr>
        <w:t>Parking Futures Action Plan</w:t>
      </w:r>
      <w:r w:rsidRPr="002B5BF6">
        <w:t xml:space="preserve"> replaces the </w:t>
      </w:r>
      <w:r w:rsidRPr="002B5BF6">
        <w:rPr>
          <w:i/>
        </w:rPr>
        <w:t>Bendigo CBD Parking Strategy</w:t>
      </w:r>
      <w:r w:rsidRPr="002B5BF6">
        <w:t xml:space="preserve"> </w:t>
      </w:r>
      <w:r w:rsidR="002B5BF6">
        <w:t>(</w:t>
      </w:r>
      <w:r w:rsidRPr="002B5BF6">
        <w:t>2008</w:t>
      </w:r>
      <w:r w:rsidR="002B5BF6">
        <w:t>)</w:t>
      </w:r>
      <w:r w:rsidRPr="002B5BF6">
        <w:t xml:space="preserve"> for the purpose of guiding strategic planning and </w:t>
      </w:r>
      <w:r w:rsidRPr="00D16E1D">
        <w:t xml:space="preserve">future decision-making relating to car parking in the City Centre. </w:t>
      </w:r>
    </w:p>
    <w:p w14:paraId="42A5DADC" w14:textId="1FF0DEB4" w:rsidR="008E2B93" w:rsidRDefault="008E2B93" w:rsidP="008E2B93">
      <w:r>
        <w:t>Across the City Centre there are over 11,400 parking spaces that occupy close to 40 hectares or 100 acres of land.  Around 3,600 (approximately 32 per cent) of these parking bays are located ‘on-street’ with the remaining 7,800 (68 per cent) being located ‘off-street’ in a combination of large public car parks or on private land.</w:t>
      </w:r>
    </w:p>
    <w:p w14:paraId="6FCA015C" w14:textId="77777777" w:rsidR="008E2B93" w:rsidRDefault="008E2B93" w:rsidP="008E2B93">
      <w:r w:rsidRPr="001B6C00">
        <w:t>Of the 11,400 parking bays, 2,259 (about 20%) are in paid parking areas.</w:t>
      </w:r>
      <w:r>
        <w:t xml:space="preserve"> Another 1,893 bays are in time restricted areas (where there are time restrictions but no fees) and the remaining 7,000 or so bays (over 60%) are either in unrestricted areas or on private land for use by residents, tenants, customers or visitors.</w:t>
      </w:r>
    </w:p>
    <w:p w14:paraId="04A74439" w14:textId="1B53B6A8" w:rsidR="008E2B93" w:rsidRDefault="008E2B93" w:rsidP="008E2B93">
      <w:pPr>
        <w:rPr>
          <w:szCs w:val="24"/>
        </w:rPr>
      </w:pPr>
      <w:r w:rsidRPr="00D16E1D">
        <w:t xml:space="preserve">The relevant action from this plan is to remove off-street parking requirements via amending PO1 and inserting a new PO3 in </w:t>
      </w:r>
      <w:r w:rsidRPr="00D16E1D">
        <w:rPr>
          <w:szCs w:val="24"/>
        </w:rPr>
        <w:t>the Greater Bendigo Planning Scheme.</w:t>
      </w:r>
      <w:r>
        <w:rPr>
          <w:szCs w:val="24"/>
        </w:rPr>
        <w:t xml:space="preserve">  This does not mean there will be no carparking provided in any buildings.  Removing parking minimums allows the development industry to provide the parking the market determines appropriate for the type of uses proposed.  In a regional context such as Bendigo, developers providing standard unit development would likely provide a minimum of 1 resident space per 2/3-bedroom dwelling.  </w:t>
      </w:r>
      <w:r w:rsidR="00197A05">
        <w:rPr>
          <w:szCs w:val="24"/>
        </w:rPr>
        <w:t>Whereas</w:t>
      </w:r>
      <w:r>
        <w:rPr>
          <w:szCs w:val="24"/>
        </w:rPr>
        <w:t xml:space="preserve"> retail or commercial development are currently required </w:t>
      </w:r>
      <w:r w:rsidR="00040B85">
        <w:rPr>
          <w:szCs w:val="24"/>
        </w:rPr>
        <w:t xml:space="preserve">to </w:t>
      </w:r>
      <w:r>
        <w:rPr>
          <w:szCs w:val="24"/>
        </w:rPr>
        <w:t>provide parking spaces for visitors.  This excludes the context of proximity to public transport, active travel or likely multi-trip visitation</w:t>
      </w:r>
      <w:r w:rsidR="00040B85">
        <w:rPr>
          <w:szCs w:val="24"/>
        </w:rPr>
        <w:t xml:space="preserve"> purposes</w:t>
      </w:r>
      <w:r>
        <w:rPr>
          <w:szCs w:val="24"/>
        </w:rPr>
        <w:t xml:space="preserve">.  </w:t>
      </w:r>
      <w:r w:rsidR="00040B85">
        <w:rPr>
          <w:szCs w:val="24"/>
        </w:rPr>
        <w:t xml:space="preserve">For people with limited mobility, access to car parking spaces remains important and is closely linked with the land use.  It is unlikely a medical facility with no parking provision would be able to meet the requirements of clause 52.06.  </w:t>
      </w:r>
      <w:r w:rsidR="00197A05">
        <w:rPr>
          <w:szCs w:val="24"/>
        </w:rPr>
        <w:t>Howeve</w:t>
      </w:r>
      <w:r w:rsidR="00040B85">
        <w:rPr>
          <w:szCs w:val="24"/>
        </w:rPr>
        <w:t>r, accessible onsite parking across the City Centre remains an important element to ensuring a functioning environment accessible to everyone.</w:t>
      </w:r>
      <w:r w:rsidR="00197A05">
        <w:rPr>
          <w:szCs w:val="24"/>
        </w:rPr>
        <w:t xml:space="preserve"> </w:t>
      </w:r>
    </w:p>
    <w:p w14:paraId="1DC51777" w14:textId="50AC0DA3" w:rsidR="006F7603" w:rsidRPr="0026234F" w:rsidRDefault="006F7603" w:rsidP="0026234F">
      <w:pPr>
        <w:rPr>
          <w:rFonts w:cs="Arial"/>
          <w:b/>
          <w:szCs w:val="24"/>
        </w:rPr>
      </w:pPr>
      <w:r w:rsidRPr="0026234F">
        <w:rPr>
          <w:rFonts w:cs="Arial"/>
          <w:b/>
          <w:szCs w:val="24"/>
        </w:rPr>
        <w:t>Bendigo City Centre Heritage Study Stages 1 &amp; 2 2020/2022</w:t>
      </w:r>
    </w:p>
    <w:p w14:paraId="2D220520" w14:textId="4AC94AA6" w:rsidR="006F7603" w:rsidRPr="00D668E4" w:rsidRDefault="006F7603" w:rsidP="00D668E4">
      <w:r w:rsidRPr="00D668E4">
        <w:t xml:space="preserve">The </w:t>
      </w:r>
      <w:r w:rsidRPr="00D668E4">
        <w:rPr>
          <w:i/>
        </w:rPr>
        <w:t>Bendigo City Centre Heritage Study Stage 1</w:t>
      </w:r>
      <w:r w:rsidRPr="00D668E4">
        <w:t xml:space="preserve"> (Context, 2020) and </w:t>
      </w:r>
      <w:r w:rsidRPr="00D668E4">
        <w:rPr>
          <w:i/>
        </w:rPr>
        <w:t>Bendigo City Centre Heritage Study Stage 2: Precincts</w:t>
      </w:r>
      <w:r w:rsidRPr="00D668E4">
        <w:t xml:space="preserve"> (RBA, 2022) seek to address notable gaps that exist in the application of the Heritage Overlay in </w:t>
      </w:r>
      <w:r w:rsidR="00400A8F">
        <w:t xml:space="preserve">the </w:t>
      </w:r>
      <w:r w:rsidRPr="00D668E4">
        <w:t>City Centre, both in terms of geographic coverage and the provision of reliable heritage information.</w:t>
      </w:r>
    </w:p>
    <w:p w14:paraId="0D2B6EC0" w14:textId="124C384E" w:rsidR="006F7603" w:rsidRPr="00D668E4" w:rsidRDefault="006F7603" w:rsidP="00D668E4">
      <w:r w:rsidRPr="00D668E4">
        <w:lastRenderedPageBreak/>
        <w:t xml:space="preserve">The </w:t>
      </w:r>
      <w:r w:rsidR="00993E1D">
        <w:t>S</w:t>
      </w:r>
      <w:r w:rsidRPr="00D668E4">
        <w:t xml:space="preserve">tage 1 </w:t>
      </w:r>
      <w:r w:rsidR="00E07D04">
        <w:t>s</w:t>
      </w:r>
      <w:r w:rsidRPr="00D668E4">
        <w:t>tudy has already</w:t>
      </w:r>
      <w:r w:rsidR="00B52F23">
        <w:t xml:space="preserve"> been</w:t>
      </w:r>
      <w:r w:rsidRPr="00D668E4">
        <w:t xml:space="preserve"> implemented in the Greater Bendigo Planning Scheme. The </w:t>
      </w:r>
      <w:r w:rsidR="00993E1D">
        <w:t>S</w:t>
      </w:r>
      <w:r w:rsidRPr="00D668E4">
        <w:t xml:space="preserve">tage 2 </w:t>
      </w:r>
      <w:r w:rsidR="0077154A">
        <w:t>s</w:t>
      </w:r>
      <w:r w:rsidRPr="00D668E4">
        <w:t xml:space="preserve">tudy recommends splitting the Bendigo Civic and Commercial Precinct (HO3) into two distinct precincts, revising the boundaries of the Rosalind Park Precinct (HO10) and applying the Heritage Overlay to four new individual heritage places. </w:t>
      </w:r>
    </w:p>
    <w:p w14:paraId="56447239" w14:textId="730872AC" w:rsidR="006F7603" w:rsidRDefault="006F7603" w:rsidP="00D668E4">
      <w:r w:rsidRPr="00D668E4">
        <w:t xml:space="preserve">The </w:t>
      </w:r>
      <w:r w:rsidR="0042141B">
        <w:t xml:space="preserve">proposed </w:t>
      </w:r>
      <w:r w:rsidRPr="00D668E4">
        <w:t xml:space="preserve">amendment is required to implement the </w:t>
      </w:r>
      <w:r w:rsidR="003740CF">
        <w:t>s</w:t>
      </w:r>
      <w:r w:rsidRPr="00D668E4">
        <w:t>tudy</w:t>
      </w:r>
      <w:r w:rsidR="0042041C">
        <w:t>, by amending</w:t>
      </w:r>
      <w:r w:rsidR="00821725">
        <w:t xml:space="preserve"> and applying the H</w:t>
      </w:r>
      <w:r w:rsidRPr="00D668E4">
        <w:t xml:space="preserve">eritage </w:t>
      </w:r>
      <w:r w:rsidR="00821725">
        <w:t>O</w:t>
      </w:r>
      <w:r w:rsidRPr="00D668E4">
        <w:t xml:space="preserve">verlay to enable better management and clear guidance for these places of heritage significance in the City Centre, allowing for sympathetic mixed development in the future as the population grows. </w:t>
      </w:r>
      <w:r w:rsidR="003F056E" w:rsidRPr="00D668E4">
        <w:t>The Study also makes administrative improvements which have been translated to the planning scheme such as correction to boundaries, place names and property descriptions.</w:t>
      </w:r>
    </w:p>
    <w:p w14:paraId="70F43F09" w14:textId="77777777" w:rsidR="006F7603" w:rsidRPr="0026234F" w:rsidRDefault="006F7603" w:rsidP="0026234F">
      <w:pPr>
        <w:rPr>
          <w:rFonts w:cs="Arial"/>
          <w:b/>
          <w:szCs w:val="24"/>
        </w:rPr>
      </w:pPr>
      <w:r w:rsidRPr="0026234F">
        <w:rPr>
          <w:rFonts w:cs="Arial"/>
          <w:b/>
          <w:szCs w:val="24"/>
        </w:rPr>
        <w:t xml:space="preserve">Bendigo City Centre Urban Design Framework 2022 </w:t>
      </w:r>
    </w:p>
    <w:p w14:paraId="65233FD7" w14:textId="77777777" w:rsidR="006F7603" w:rsidRPr="00D668E4" w:rsidRDefault="006F7603" w:rsidP="00D668E4">
      <w:r w:rsidRPr="00D668E4">
        <w:t xml:space="preserve">The </w:t>
      </w:r>
      <w:r w:rsidRPr="00D668E4">
        <w:rPr>
          <w:i/>
        </w:rPr>
        <w:t>Bendigo City Centre Urban Design Framework 2022</w:t>
      </w:r>
      <w:r w:rsidRPr="00D668E4">
        <w:t xml:space="preserve"> (UDF) has the primary purpose of providing strategic design direction to manage change in the urban environment, with a focus on built form and related amenity and public domain outcomes.</w:t>
      </w:r>
    </w:p>
    <w:p w14:paraId="145519D0" w14:textId="77777777" w:rsidR="006F7603" w:rsidRPr="00D668E4" w:rsidRDefault="006F7603" w:rsidP="00D668E4">
      <w:r w:rsidRPr="00D668E4">
        <w:t xml:space="preserve">The UDF assembles built environment design guidance to support incremental contemporary development of the City Centre that is progressive, creative and optimal in its use of available infill opportunities, as well as complementary to the established heritage character and vernacular. The amendment is then required to implement the recommendations of the UDF through the schedules in the new ACZ1 zone and the supporting local policy. </w:t>
      </w:r>
    </w:p>
    <w:p w14:paraId="058B418C" w14:textId="77777777" w:rsidR="003B457A" w:rsidRDefault="003B457A" w:rsidP="003B457A">
      <w:pPr>
        <w:pStyle w:val="Heading3"/>
      </w:pPr>
      <w:r>
        <w:t>How does the amendment implement the objectives of planning in Victoria?</w:t>
      </w:r>
    </w:p>
    <w:p w14:paraId="10EDF720" w14:textId="77777777" w:rsidR="00281912" w:rsidRPr="00D668E4" w:rsidRDefault="00281912" w:rsidP="00D668E4">
      <w:r w:rsidRPr="00D668E4">
        <w:t xml:space="preserve">The amendment implements the objectives of planning in Victoria set out in sections 4(1) and 12(1)(a) of the </w:t>
      </w:r>
      <w:r w:rsidRPr="00D668E4">
        <w:rPr>
          <w:i/>
        </w:rPr>
        <w:t>Planning and Environment Act 1987</w:t>
      </w:r>
      <w:r w:rsidRPr="00D668E4">
        <w:t xml:space="preserve"> (the ‘Act’) through the application of the ACZ1 and requirements within the schedules as follows:</w:t>
      </w:r>
    </w:p>
    <w:p w14:paraId="142E41F9" w14:textId="14CCC463" w:rsidR="00281912" w:rsidRPr="00D668E4" w:rsidRDefault="00281912" w:rsidP="00D668E4">
      <w:pPr>
        <w:pStyle w:val="Bulletlist"/>
        <w:rPr>
          <w:rFonts w:cs="Arial"/>
          <w:szCs w:val="24"/>
          <w:lang w:val="en-GB"/>
        </w:rPr>
      </w:pPr>
      <w:r w:rsidRPr="00D668E4">
        <w:rPr>
          <w:rFonts w:cs="Arial"/>
          <w:szCs w:val="24"/>
          <w:lang w:val="en-GB"/>
        </w:rPr>
        <w:t xml:space="preserve">Objective (a): The amendment provides for the fair, orderly, economic and sustainable use and development of land as it creates opportunities for the consolidation of very well serviced and in some instances underutilised urban land through the application of the new ACZ1.  The ACZ1 zone provides clear direction to manage infill development within a complex highly valued heritage area.  The new zone provides clarity and direction on urban design requirements to ensure better use of available land while still protecting the heritage values. </w:t>
      </w:r>
    </w:p>
    <w:p w14:paraId="4DA59B8A" w14:textId="18EF0506" w:rsidR="00281912" w:rsidRPr="00D668E4" w:rsidRDefault="00281912" w:rsidP="00D668E4">
      <w:pPr>
        <w:pStyle w:val="Bulletlist"/>
        <w:rPr>
          <w:rFonts w:cs="Arial"/>
          <w:szCs w:val="24"/>
          <w:lang w:val="en-GB"/>
        </w:rPr>
      </w:pPr>
      <w:r w:rsidRPr="00D668E4">
        <w:rPr>
          <w:rFonts w:cs="Arial"/>
          <w:szCs w:val="24"/>
          <w:lang w:val="en-GB"/>
        </w:rPr>
        <w:t xml:space="preserve">Objective (b): The amendment facilitates an efficient use of urban land, thereby reducing pressure on fringe development and its associated resource consumption.  ACZ1 is supported by schedules developed from the </w:t>
      </w:r>
      <w:r w:rsidR="00DD3680">
        <w:rPr>
          <w:rFonts w:cs="Arial"/>
          <w:szCs w:val="24"/>
          <w:lang w:val="en-GB"/>
        </w:rPr>
        <w:t>UDF</w:t>
      </w:r>
      <w:r w:rsidRPr="00D668E4">
        <w:rPr>
          <w:rFonts w:cs="Arial"/>
          <w:szCs w:val="24"/>
          <w:lang w:val="en-GB"/>
        </w:rPr>
        <w:t xml:space="preserve"> which provides clear and simplified development controls giving greater certainty for the development industry of the urban design expectations for all sites.  These controls ensure the need for growth and renewal, including the reuse of existing </w:t>
      </w:r>
      <w:r w:rsidRPr="00D668E4">
        <w:rPr>
          <w:rFonts w:cs="Arial"/>
          <w:szCs w:val="24"/>
          <w:lang w:val="en-GB"/>
        </w:rPr>
        <w:lastRenderedPageBreak/>
        <w:t xml:space="preserve">heritage buildings are encouraged, while still achieving a balanced and respectful outcome for the heritage context. </w:t>
      </w:r>
    </w:p>
    <w:p w14:paraId="654CCBCE" w14:textId="47717A34" w:rsidR="00281912" w:rsidRPr="00D668E4" w:rsidRDefault="00281912" w:rsidP="00D668E4">
      <w:pPr>
        <w:pStyle w:val="Bulletlist"/>
        <w:rPr>
          <w:rFonts w:cs="Arial"/>
          <w:szCs w:val="24"/>
          <w:lang w:val="en-GB"/>
        </w:rPr>
      </w:pPr>
      <w:r w:rsidRPr="00D668E4">
        <w:rPr>
          <w:rFonts w:cs="Arial"/>
          <w:szCs w:val="24"/>
          <w:lang w:val="en-GB"/>
        </w:rPr>
        <w:t xml:space="preserve">Objective (c): The amendment will secure a pleasant, efficient and safe working, living and recreational environment for all Victorians and visitors to Victoria.  The introduction of the ACZ1 will ensure that the </w:t>
      </w:r>
      <w:r w:rsidR="00B52F23">
        <w:rPr>
          <w:rFonts w:cs="Arial"/>
          <w:szCs w:val="24"/>
          <w:lang w:val="en-GB"/>
        </w:rPr>
        <w:t>C</w:t>
      </w:r>
      <w:r w:rsidRPr="00D668E4">
        <w:rPr>
          <w:rFonts w:cs="Arial"/>
          <w:szCs w:val="24"/>
          <w:lang w:val="en-GB"/>
        </w:rPr>
        <w:t xml:space="preserve">ity </w:t>
      </w:r>
      <w:r w:rsidR="00B52F23">
        <w:rPr>
          <w:rFonts w:cs="Arial"/>
          <w:szCs w:val="24"/>
          <w:lang w:val="en-GB"/>
        </w:rPr>
        <w:t>C</w:t>
      </w:r>
      <w:r w:rsidRPr="00D668E4">
        <w:rPr>
          <w:rFonts w:cs="Arial"/>
          <w:szCs w:val="24"/>
          <w:lang w:val="en-GB"/>
        </w:rPr>
        <w:t>entre continues to evolve to support both residents and visitors alike.  The addition of these new controls based on the findings of the Bendigo City Centre Heritage Study – Stage 2 Precincts ensures that one of the key reasons people come to Bendigo, being the high value heritage, will be protected as the city grows. The new controls and direction set in the supporting documents to the amendment reinforces the important role of</w:t>
      </w:r>
      <w:r w:rsidR="00C9771E">
        <w:rPr>
          <w:rFonts w:cs="Arial"/>
          <w:szCs w:val="24"/>
          <w:lang w:val="en-GB"/>
        </w:rPr>
        <w:t xml:space="preserve"> the</w:t>
      </w:r>
      <w:r w:rsidRPr="00D668E4">
        <w:rPr>
          <w:rFonts w:cs="Arial"/>
          <w:szCs w:val="24"/>
          <w:lang w:val="en-GB"/>
        </w:rPr>
        <w:t xml:space="preserve"> City Centre as a regional city. </w:t>
      </w:r>
    </w:p>
    <w:p w14:paraId="4E339366" w14:textId="0B4E1F4C" w:rsidR="00281912" w:rsidRPr="00D668E4" w:rsidRDefault="00281912" w:rsidP="00D668E4">
      <w:pPr>
        <w:pStyle w:val="Bulletlist"/>
        <w:rPr>
          <w:rFonts w:cs="Arial"/>
          <w:szCs w:val="24"/>
          <w:lang w:val="en-GB"/>
        </w:rPr>
      </w:pPr>
      <w:r w:rsidRPr="00D668E4">
        <w:rPr>
          <w:rFonts w:cs="Arial"/>
          <w:szCs w:val="24"/>
          <w:lang w:val="en-GB"/>
        </w:rPr>
        <w:t>Objective (d): The amendment seeks to conserve and enhance heritage buildings and streetscapes by promoting a sensitive and complementary response to heritage sites. The amendment included the introduction of the new ACZ1 which has been developed to ensure protection of the heritage fabric through the updating of the existing heritage precinct information (Bendigo City Centre Heritage Study Stage 2 – Precincts) and the U</w:t>
      </w:r>
      <w:r w:rsidR="00131D6F">
        <w:rPr>
          <w:rFonts w:cs="Arial"/>
          <w:szCs w:val="24"/>
          <w:lang w:val="en-GB"/>
        </w:rPr>
        <w:t>DF</w:t>
      </w:r>
      <w:r w:rsidRPr="00D668E4">
        <w:rPr>
          <w:rFonts w:cs="Arial"/>
          <w:szCs w:val="24"/>
          <w:lang w:val="en-GB"/>
        </w:rPr>
        <w:t>.</w:t>
      </w:r>
    </w:p>
    <w:p w14:paraId="2BAA89AC" w14:textId="77777777" w:rsidR="00281912" w:rsidRPr="00D668E4" w:rsidRDefault="00281912" w:rsidP="00D668E4">
      <w:pPr>
        <w:pStyle w:val="Bulletlist"/>
        <w:rPr>
          <w:rFonts w:cs="Arial"/>
          <w:szCs w:val="24"/>
          <w:lang w:val="en-GB"/>
        </w:rPr>
      </w:pPr>
      <w:r w:rsidRPr="00D668E4">
        <w:rPr>
          <w:rFonts w:cs="Arial"/>
          <w:szCs w:val="24"/>
          <w:lang w:val="en-GB"/>
        </w:rPr>
        <w:t xml:space="preserve">Objective (e): The amendment enables the orderly provision and co-ordination of public utilities having regard to the capacity of drainage, stormwater, water, sewerage, electricity, gas, telecommunications and fire services and infrastructure.  Although there will be limited additional infrastructure in this highly urbanised area, there will be a need for upgrading servicing capacity for utilities such as water.  Due to this the City Centre Plan and subsequent supporting documents have been developed in consultation with the utility providers to ensure the growth capacity identified within the ACZ1 is achievable. </w:t>
      </w:r>
    </w:p>
    <w:p w14:paraId="48704840" w14:textId="77777777" w:rsidR="00281912" w:rsidRPr="00D668E4" w:rsidRDefault="00281912" w:rsidP="00D668E4">
      <w:pPr>
        <w:pStyle w:val="Bulletlist"/>
        <w:rPr>
          <w:rFonts w:cs="Arial"/>
          <w:szCs w:val="24"/>
          <w:lang w:val="en-GB"/>
        </w:rPr>
      </w:pPr>
      <w:r w:rsidRPr="00D668E4">
        <w:rPr>
          <w:rFonts w:cs="Arial"/>
          <w:szCs w:val="24"/>
          <w:lang w:val="en-GB"/>
        </w:rPr>
        <w:t xml:space="preserve">Objective (f): The amendment facilitates the provision of affordable housing in Victoria by increasing opportunities for a range of accommodation uses in the City Centre and by including the provision of affordable housing as a consideration in determining the appropriateness of additional height.  This will be achieved through the new ACZ1 which identified additional capacity for infill develop of mixed uses primarily commercial on the ground floor and housing above.  </w:t>
      </w:r>
    </w:p>
    <w:p w14:paraId="1690A501" w14:textId="77777777" w:rsidR="00281912" w:rsidRPr="00D668E4" w:rsidRDefault="00281912" w:rsidP="00D668E4">
      <w:pPr>
        <w:pStyle w:val="Bulletlist"/>
        <w:rPr>
          <w:rFonts w:cs="Arial"/>
          <w:szCs w:val="24"/>
          <w:lang w:val="en-GB"/>
        </w:rPr>
      </w:pPr>
      <w:r w:rsidRPr="00D668E4">
        <w:rPr>
          <w:rFonts w:cs="Arial"/>
          <w:szCs w:val="24"/>
          <w:lang w:val="en-GB"/>
        </w:rPr>
        <w:t xml:space="preserve">Objective (g): The introduction of the ACZ and supporting schedules in this amendment balances the present and future interests of all Victorians by facilitating capital investment in the region and by reinforcing and expanding the core mixed use role and the sustainable consolidation of the City Centre.  </w:t>
      </w:r>
    </w:p>
    <w:p w14:paraId="48BD6069" w14:textId="70AE03FA" w:rsidR="003F056E" w:rsidRPr="004F20D3" w:rsidRDefault="003F056E" w:rsidP="004F20D3">
      <w:r w:rsidRPr="004F20D3">
        <w:t xml:space="preserve">The amendment is therefore consistent with the objectives by facilitating sustainable use of land and high quality design outcomes with the Bendigo City Centre. </w:t>
      </w:r>
    </w:p>
    <w:p w14:paraId="7A07892E" w14:textId="77777777" w:rsidR="00286F90" w:rsidRPr="00AA5C8A" w:rsidRDefault="00286F90" w:rsidP="00286F90">
      <w:pPr>
        <w:pStyle w:val="Heading3"/>
      </w:pPr>
      <w:r w:rsidRPr="00AA5C8A">
        <w:t>How does the amendment address any environmental, social and economic effects?</w:t>
      </w:r>
    </w:p>
    <w:p w14:paraId="0C9AAC89" w14:textId="77777777" w:rsidR="00281912" w:rsidRPr="004F20D3" w:rsidRDefault="00281912" w:rsidP="004F20D3">
      <w:bookmarkStart w:id="1" w:name="_Hlk170503078"/>
      <w:r w:rsidRPr="004F20D3">
        <w:t xml:space="preserve">The amendment has considered the environmental, social and economic effects set out in sections 12(2)(b) and (c) of the Act.  This is done through the application of the </w:t>
      </w:r>
      <w:r w:rsidRPr="004F20D3">
        <w:lastRenderedPageBreak/>
        <w:t xml:space="preserve">ACZ and supporting schedules which provide clear direction for development across the City Centre.  The urban design controls have been specifically developed to promote design solutions that complement the existing heritage context, while still ensuring sites are not underdeveloped.  The amendment also includes the updating and implementation of the Bendigo City Centre Heritage Study Stage 2 – Precincts which reviewed the exiting heritage controls and update information to ensure the Heritage Overlays comply with contemporary thresholds.  </w:t>
      </w:r>
    </w:p>
    <w:bookmarkEnd w:id="1"/>
    <w:p w14:paraId="5262BA83" w14:textId="77777777" w:rsidR="00281912" w:rsidRPr="0026234F" w:rsidRDefault="00281912" w:rsidP="0026234F">
      <w:pPr>
        <w:rPr>
          <w:rFonts w:cs="Arial"/>
          <w:b/>
          <w:szCs w:val="24"/>
        </w:rPr>
      </w:pPr>
      <w:r w:rsidRPr="0026234F">
        <w:rPr>
          <w:rFonts w:cs="Arial"/>
          <w:b/>
          <w:szCs w:val="24"/>
        </w:rPr>
        <w:t>Environmental</w:t>
      </w:r>
    </w:p>
    <w:p w14:paraId="309A08B6" w14:textId="77777777" w:rsidR="00281912" w:rsidRPr="004F20D3" w:rsidRDefault="00281912" w:rsidP="004F20D3">
      <w:r w:rsidRPr="004F20D3">
        <w:t>The amendment addresses environmental effects by:</w:t>
      </w:r>
    </w:p>
    <w:p w14:paraId="204CEEC8" w14:textId="7B194EDE" w:rsidR="00281912" w:rsidRPr="004F20D3" w:rsidRDefault="00281912" w:rsidP="004F20D3">
      <w:pPr>
        <w:pStyle w:val="Bulletlist"/>
        <w:rPr>
          <w:rFonts w:cs="Arial"/>
          <w:szCs w:val="24"/>
          <w:lang w:val="en-GB"/>
        </w:rPr>
      </w:pPr>
      <w:r w:rsidRPr="004F20D3">
        <w:rPr>
          <w:rFonts w:cs="Arial"/>
          <w:szCs w:val="24"/>
          <w:lang w:val="en-GB"/>
        </w:rPr>
        <w:t xml:space="preserve">Encouraging the uptake of alternative forms of transport including active, public, and other forms of sustainable transport. This is supported through the ACZ which reinforces the compact city approach and encourages greater density.  </w:t>
      </w:r>
      <w:r w:rsidR="003F056E" w:rsidRPr="004F20D3">
        <w:rPr>
          <w:rFonts w:cs="Arial"/>
          <w:szCs w:val="24"/>
          <w:lang w:val="en-GB"/>
        </w:rPr>
        <w:t xml:space="preserve">Greater density also makes more efficient use of existing facilities and services. </w:t>
      </w:r>
      <w:r w:rsidRPr="004F20D3">
        <w:rPr>
          <w:rFonts w:cs="Arial"/>
          <w:szCs w:val="24"/>
          <w:lang w:val="en-GB"/>
        </w:rPr>
        <w:t xml:space="preserve">The changes to the Parking Overlay which removes parking minimums further reinforces the importance of active travel and use of existing public infrastructure such as the bus and train network.  </w:t>
      </w:r>
    </w:p>
    <w:p w14:paraId="42713F21" w14:textId="6875CFF9" w:rsidR="00281912" w:rsidRPr="004F20D3" w:rsidRDefault="00281912" w:rsidP="004F20D3">
      <w:pPr>
        <w:pStyle w:val="Bulletlist"/>
        <w:rPr>
          <w:rFonts w:cs="Arial"/>
          <w:szCs w:val="24"/>
          <w:lang w:val="en-GB"/>
        </w:rPr>
      </w:pPr>
      <w:r w:rsidRPr="004F20D3">
        <w:rPr>
          <w:rFonts w:cs="Arial"/>
          <w:szCs w:val="24"/>
          <w:lang w:val="en-GB"/>
        </w:rPr>
        <w:t>Encouraging implementation of environmentally sustainable design principles for all new development is embedded into the U</w:t>
      </w:r>
      <w:r w:rsidR="00D7281E">
        <w:rPr>
          <w:rFonts w:cs="Arial"/>
          <w:szCs w:val="24"/>
          <w:lang w:val="en-GB"/>
        </w:rPr>
        <w:t>DF</w:t>
      </w:r>
      <w:r w:rsidRPr="004F20D3">
        <w:rPr>
          <w:rFonts w:cs="Arial"/>
          <w:szCs w:val="24"/>
          <w:lang w:val="en-GB"/>
        </w:rPr>
        <w:t xml:space="preserve"> and ACZ1.</w:t>
      </w:r>
    </w:p>
    <w:p w14:paraId="0D8FB1FA" w14:textId="77777777" w:rsidR="00281912" w:rsidRPr="004F20D3" w:rsidRDefault="00281912" w:rsidP="004F20D3">
      <w:pPr>
        <w:pStyle w:val="Bulletlist"/>
        <w:rPr>
          <w:rFonts w:cs="Arial"/>
          <w:szCs w:val="24"/>
          <w:lang w:val="en-GB"/>
        </w:rPr>
      </w:pPr>
      <w:r w:rsidRPr="004F20D3">
        <w:rPr>
          <w:rFonts w:cs="Arial"/>
          <w:szCs w:val="24"/>
          <w:lang w:val="en-GB"/>
        </w:rPr>
        <w:t>Supporting a compact City Centre which makes efficient use of existing high cost infrastructure and reduces the waste of resources and environmental impacts attributable to urban sprawl. The ACZ1 has been developed to specifically provide simplified and practical planning controls to encourage investment in new development or retrofitting of existing buildings.  A key benefit of the new controls is the certainty around expectations for development for developers, community and statutory planners which in the long term reduces the time and money involved for applications to be prepared and assessed.</w:t>
      </w:r>
    </w:p>
    <w:p w14:paraId="5CAB8741" w14:textId="6E27341E" w:rsidR="00281912" w:rsidRPr="004F20D3" w:rsidRDefault="00281912" w:rsidP="004F20D3">
      <w:pPr>
        <w:pStyle w:val="Bulletlist"/>
        <w:rPr>
          <w:rFonts w:cs="Arial"/>
          <w:szCs w:val="24"/>
          <w:lang w:val="en-GB"/>
        </w:rPr>
      </w:pPr>
      <w:r w:rsidRPr="004F20D3">
        <w:rPr>
          <w:rFonts w:cs="Arial"/>
          <w:szCs w:val="24"/>
          <w:lang w:val="en-GB"/>
        </w:rPr>
        <w:t>Requiring a sensitive design response to surrounding context including heritage sites with significant historic, architectural, aesthetic, scientific and cultural values.  The ACZ and U</w:t>
      </w:r>
      <w:r w:rsidR="00122FC6">
        <w:rPr>
          <w:rFonts w:cs="Arial"/>
          <w:szCs w:val="24"/>
          <w:lang w:val="en-GB"/>
        </w:rPr>
        <w:t>DF</w:t>
      </w:r>
      <w:r w:rsidRPr="004F20D3">
        <w:rPr>
          <w:rFonts w:cs="Arial"/>
          <w:szCs w:val="24"/>
          <w:lang w:val="en-GB"/>
        </w:rPr>
        <w:t xml:space="preserve"> specifically provide strong direction and have been developed with a comprehensive understanding of the current heritage fabric.  Included in the amendment is the supporting Bendigo City Centre Heritage Study Stage 2 – Precincts which updates the existing precinct information, clarifies individual places grading levels and introduces four new places of individual significance. </w:t>
      </w:r>
    </w:p>
    <w:p w14:paraId="3B70B4BC" w14:textId="694CFD69" w:rsidR="00281912" w:rsidRPr="004F20D3" w:rsidRDefault="00281912" w:rsidP="004F20D3">
      <w:pPr>
        <w:pStyle w:val="Bulletlist"/>
        <w:rPr>
          <w:rFonts w:cs="Arial"/>
          <w:szCs w:val="24"/>
          <w:lang w:val="en-GB"/>
        </w:rPr>
      </w:pPr>
      <w:r w:rsidRPr="004F20D3">
        <w:rPr>
          <w:rFonts w:cs="Arial"/>
          <w:szCs w:val="24"/>
          <w:lang w:val="en-GB"/>
        </w:rPr>
        <w:t>Considering buffers and threshold distances to ensure community amenity is protected where the adaptive reuse of former light industrial</w:t>
      </w:r>
      <w:r w:rsidR="00B52F23">
        <w:rPr>
          <w:rFonts w:cs="Arial"/>
          <w:szCs w:val="24"/>
          <w:lang w:val="en-GB"/>
        </w:rPr>
        <w:t xml:space="preserve"> / bulky goods</w:t>
      </w:r>
      <w:r w:rsidRPr="004F20D3">
        <w:rPr>
          <w:rFonts w:cs="Arial"/>
          <w:szCs w:val="24"/>
          <w:lang w:val="en-GB"/>
        </w:rPr>
        <w:t xml:space="preserve"> sites is encouraged through the change to the ACZ1 which will allow mixed use development of both commercial and residential uses.  These changes allow for a more complementary mix of uses and minimises land use conflict.  An Environmental Audit Overlay is recommended on </w:t>
      </w:r>
      <w:r w:rsidR="00B52F23">
        <w:rPr>
          <w:rFonts w:cs="Arial"/>
          <w:szCs w:val="24"/>
          <w:lang w:val="en-GB"/>
        </w:rPr>
        <w:t>p</w:t>
      </w:r>
      <w:r w:rsidRPr="004F20D3">
        <w:rPr>
          <w:rFonts w:cs="Arial"/>
          <w:szCs w:val="24"/>
          <w:lang w:val="en-GB"/>
        </w:rPr>
        <w:t xml:space="preserve">roperties </w:t>
      </w:r>
      <w:r w:rsidR="00B52F23">
        <w:rPr>
          <w:rFonts w:cs="Arial"/>
          <w:szCs w:val="24"/>
          <w:lang w:val="en-GB"/>
        </w:rPr>
        <w:t xml:space="preserve">currently zoned Commercial 2 Zone </w:t>
      </w:r>
      <w:r w:rsidRPr="004F20D3">
        <w:rPr>
          <w:rFonts w:cs="Arial"/>
          <w:szCs w:val="24"/>
          <w:lang w:val="en-GB"/>
        </w:rPr>
        <w:t xml:space="preserve">that have historically had light industrial uses that may have potential to impact sensitive uses such as residential which is being introduced </w:t>
      </w:r>
      <w:r w:rsidRPr="004F20D3">
        <w:rPr>
          <w:rFonts w:cs="Arial"/>
          <w:szCs w:val="24"/>
          <w:lang w:val="en-GB"/>
        </w:rPr>
        <w:lastRenderedPageBreak/>
        <w:t>into part of Precinct 5 under the ACZ</w:t>
      </w:r>
      <w:r w:rsidR="00B52F23">
        <w:rPr>
          <w:rFonts w:cs="Arial"/>
          <w:szCs w:val="24"/>
          <w:lang w:val="en-GB"/>
        </w:rPr>
        <w:t>.</w:t>
      </w:r>
    </w:p>
    <w:p w14:paraId="6DD26E41" w14:textId="77777777" w:rsidR="00281912" w:rsidRPr="0026234F" w:rsidRDefault="00281912" w:rsidP="0026234F">
      <w:pPr>
        <w:rPr>
          <w:rFonts w:cs="Arial"/>
          <w:b/>
          <w:szCs w:val="24"/>
        </w:rPr>
      </w:pPr>
      <w:r w:rsidRPr="0026234F">
        <w:rPr>
          <w:rFonts w:cs="Arial"/>
          <w:b/>
          <w:szCs w:val="24"/>
        </w:rPr>
        <w:t>Social</w:t>
      </w:r>
    </w:p>
    <w:p w14:paraId="3CDCAB46" w14:textId="77777777" w:rsidR="00281912" w:rsidRPr="004F20D3" w:rsidRDefault="00281912" w:rsidP="004F20D3">
      <w:r w:rsidRPr="004F20D3">
        <w:t>The amendment addresses social effects by:</w:t>
      </w:r>
    </w:p>
    <w:p w14:paraId="78A3796A" w14:textId="77777777" w:rsidR="00281912" w:rsidRPr="004F20D3" w:rsidRDefault="00281912" w:rsidP="004F20D3">
      <w:pPr>
        <w:pStyle w:val="Bulletlist"/>
        <w:rPr>
          <w:rFonts w:cs="Arial"/>
          <w:szCs w:val="24"/>
          <w:lang w:val="en-GB"/>
        </w:rPr>
      </w:pPr>
      <w:r w:rsidRPr="004F20D3">
        <w:rPr>
          <w:rFonts w:cs="Arial"/>
          <w:szCs w:val="24"/>
          <w:lang w:val="en-GB"/>
        </w:rPr>
        <w:t>Enhancing existing community infrastructure including parks and civic spaces that are integral to public life and tourism.</w:t>
      </w:r>
    </w:p>
    <w:p w14:paraId="3275C14F" w14:textId="77777777" w:rsidR="00281912" w:rsidRPr="004F20D3" w:rsidRDefault="00281912" w:rsidP="004F20D3">
      <w:pPr>
        <w:pStyle w:val="Bulletlist"/>
        <w:rPr>
          <w:rFonts w:cs="Arial"/>
          <w:szCs w:val="24"/>
          <w:lang w:val="en-GB"/>
        </w:rPr>
      </w:pPr>
      <w:r w:rsidRPr="004F20D3">
        <w:rPr>
          <w:rFonts w:cs="Arial"/>
          <w:szCs w:val="24"/>
          <w:lang w:val="en-GB"/>
        </w:rPr>
        <w:t>Contributing to housing diversity and affordability.</w:t>
      </w:r>
    </w:p>
    <w:p w14:paraId="6A85B975" w14:textId="77777777" w:rsidR="00281912" w:rsidRPr="004F20D3" w:rsidRDefault="00281912" w:rsidP="004F20D3">
      <w:pPr>
        <w:pStyle w:val="Bulletlist"/>
        <w:rPr>
          <w:rFonts w:cs="Arial"/>
          <w:szCs w:val="24"/>
          <w:lang w:val="en-GB"/>
        </w:rPr>
      </w:pPr>
      <w:r w:rsidRPr="004F20D3">
        <w:rPr>
          <w:rFonts w:cs="Arial"/>
          <w:szCs w:val="24"/>
          <w:lang w:val="en-GB"/>
        </w:rPr>
        <w:t>Encouraging streets that support the civic, commercial or residential functions of the City Centre with design that encourages socialisation, free movement and low traffic speed.</w:t>
      </w:r>
    </w:p>
    <w:p w14:paraId="27289B77" w14:textId="77777777" w:rsidR="00281912" w:rsidRPr="004F20D3" w:rsidRDefault="00281912" w:rsidP="004F20D3">
      <w:pPr>
        <w:pStyle w:val="Bulletlist"/>
        <w:rPr>
          <w:rFonts w:cs="Arial"/>
          <w:szCs w:val="24"/>
          <w:lang w:val="en-GB"/>
        </w:rPr>
      </w:pPr>
      <w:r w:rsidRPr="004F20D3">
        <w:rPr>
          <w:rFonts w:cs="Arial"/>
          <w:szCs w:val="24"/>
          <w:lang w:val="en-GB"/>
        </w:rPr>
        <w:t>Enhancing public and private amenity through the provision of a fine-grained network of circulation routes to enhance pedestrian amenity, convenience, flexibility and alternative frontage types.</w:t>
      </w:r>
    </w:p>
    <w:p w14:paraId="5BE0F587" w14:textId="77777777" w:rsidR="00281912" w:rsidRPr="004F20D3" w:rsidRDefault="00281912" w:rsidP="004F20D3">
      <w:pPr>
        <w:pStyle w:val="Bulletlist"/>
        <w:rPr>
          <w:rFonts w:cs="Arial"/>
          <w:szCs w:val="24"/>
          <w:lang w:val="en-GB"/>
        </w:rPr>
      </w:pPr>
      <w:r w:rsidRPr="004F20D3">
        <w:rPr>
          <w:rFonts w:cs="Arial"/>
          <w:szCs w:val="24"/>
          <w:lang w:val="en-GB"/>
        </w:rPr>
        <w:t>Promoting excellence in architectural and urban design including mitigating the potential for amenity conflicts that may arise from poor quality development.</w:t>
      </w:r>
    </w:p>
    <w:p w14:paraId="603818F4" w14:textId="77777777" w:rsidR="00281912" w:rsidRPr="006533E1" w:rsidRDefault="00281912" w:rsidP="004F20D3">
      <w:pPr>
        <w:pStyle w:val="Bulletlist"/>
        <w:rPr>
          <w:rFonts w:cs="Arial"/>
          <w:szCs w:val="24"/>
        </w:rPr>
      </w:pPr>
      <w:r w:rsidRPr="004F20D3">
        <w:rPr>
          <w:rFonts w:cs="Arial"/>
          <w:szCs w:val="24"/>
          <w:lang w:val="en-GB"/>
        </w:rPr>
        <w:t>Creating increased opportunities for employment in the City Centre through construction investment in addition to the creation of ongoing employment spaces.</w:t>
      </w:r>
    </w:p>
    <w:p w14:paraId="63222B78" w14:textId="77777777" w:rsidR="00281912" w:rsidRPr="0026234F" w:rsidRDefault="00281912" w:rsidP="0026234F">
      <w:pPr>
        <w:rPr>
          <w:rFonts w:cs="Arial"/>
          <w:b/>
          <w:szCs w:val="24"/>
        </w:rPr>
      </w:pPr>
      <w:r w:rsidRPr="0026234F">
        <w:rPr>
          <w:rFonts w:cs="Arial"/>
          <w:b/>
          <w:szCs w:val="24"/>
        </w:rPr>
        <w:t>Economic</w:t>
      </w:r>
    </w:p>
    <w:p w14:paraId="30EA8AD6" w14:textId="77777777" w:rsidR="00281912" w:rsidRPr="004F20D3" w:rsidRDefault="00281912" w:rsidP="004F20D3">
      <w:r w:rsidRPr="004F20D3">
        <w:t>The amendment addresses economic effects by:</w:t>
      </w:r>
    </w:p>
    <w:p w14:paraId="30DD1154" w14:textId="77777777" w:rsidR="00281912" w:rsidRPr="004F20D3" w:rsidRDefault="00281912" w:rsidP="004F20D3">
      <w:pPr>
        <w:pStyle w:val="Bulletlist"/>
        <w:rPr>
          <w:rFonts w:cs="Arial"/>
          <w:szCs w:val="24"/>
          <w:lang w:val="en-GB"/>
        </w:rPr>
      </w:pPr>
      <w:r w:rsidRPr="004F20D3">
        <w:rPr>
          <w:rFonts w:cs="Arial"/>
          <w:szCs w:val="24"/>
          <w:lang w:val="en-GB"/>
        </w:rPr>
        <w:t>Facilitating public and private sector investment in the City Centre.</w:t>
      </w:r>
    </w:p>
    <w:p w14:paraId="2BEE9856" w14:textId="77777777" w:rsidR="00281912" w:rsidRPr="004F20D3" w:rsidRDefault="00281912" w:rsidP="004F20D3">
      <w:pPr>
        <w:pStyle w:val="Bulletlist"/>
        <w:rPr>
          <w:rFonts w:cs="Arial"/>
          <w:szCs w:val="24"/>
          <w:lang w:val="en-GB"/>
        </w:rPr>
      </w:pPr>
      <w:r w:rsidRPr="004F20D3">
        <w:rPr>
          <w:rFonts w:cs="Arial"/>
          <w:szCs w:val="24"/>
          <w:lang w:val="en-GB"/>
        </w:rPr>
        <w:t>Expanding the physical footprint of the City Centre to include peripheral inner-urban areas.</w:t>
      </w:r>
    </w:p>
    <w:p w14:paraId="7B56E664" w14:textId="77777777" w:rsidR="00281912" w:rsidRPr="004F20D3" w:rsidRDefault="00281912" w:rsidP="004F20D3">
      <w:pPr>
        <w:pStyle w:val="Bulletlist"/>
        <w:rPr>
          <w:rFonts w:cs="Arial"/>
          <w:szCs w:val="24"/>
          <w:lang w:val="en-GB"/>
        </w:rPr>
      </w:pPr>
      <w:r w:rsidRPr="004F20D3">
        <w:rPr>
          <w:rFonts w:cs="Arial"/>
          <w:szCs w:val="24"/>
          <w:lang w:val="en-GB"/>
        </w:rPr>
        <w:t>Facilitating an expansion of the range of goods, services, and employment opportunities available in the City Centre.</w:t>
      </w:r>
    </w:p>
    <w:p w14:paraId="4FD191A6" w14:textId="77777777" w:rsidR="00281912" w:rsidRPr="004F20D3" w:rsidRDefault="00281912" w:rsidP="004F20D3">
      <w:pPr>
        <w:pStyle w:val="Bulletlist"/>
        <w:rPr>
          <w:rFonts w:cs="Arial"/>
          <w:szCs w:val="24"/>
          <w:lang w:val="en-GB"/>
        </w:rPr>
      </w:pPr>
      <w:r w:rsidRPr="004F20D3">
        <w:rPr>
          <w:rFonts w:cs="Arial"/>
          <w:szCs w:val="24"/>
          <w:lang w:val="en-GB"/>
        </w:rPr>
        <w:t>Protecting and expanding the vitality and viability of existing commercial, retail, visitor, social, civic, cultural, tourism and entertainment activities.</w:t>
      </w:r>
    </w:p>
    <w:p w14:paraId="35CD68F1" w14:textId="77777777" w:rsidR="00281912" w:rsidRPr="004F20D3" w:rsidRDefault="00281912" w:rsidP="004F20D3">
      <w:pPr>
        <w:pStyle w:val="Bulletlist"/>
        <w:rPr>
          <w:rFonts w:cs="Arial"/>
          <w:szCs w:val="24"/>
          <w:lang w:val="en-GB"/>
        </w:rPr>
      </w:pPr>
      <w:r w:rsidRPr="004F20D3">
        <w:rPr>
          <w:rFonts w:cs="Arial"/>
          <w:szCs w:val="24"/>
          <w:lang w:val="en-GB"/>
        </w:rPr>
        <w:t xml:space="preserve">Encouraging further investment in education and associated uses including student accommodation to support the role of Bendigo as a ‘University City’. </w:t>
      </w:r>
    </w:p>
    <w:p w14:paraId="243FC503" w14:textId="77777777" w:rsidR="00281912" w:rsidRPr="004F20D3" w:rsidRDefault="00281912" w:rsidP="004F20D3">
      <w:pPr>
        <w:pStyle w:val="Bulletlist"/>
        <w:rPr>
          <w:rFonts w:cs="Arial"/>
          <w:szCs w:val="24"/>
          <w:lang w:val="en-GB"/>
        </w:rPr>
      </w:pPr>
      <w:r w:rsidRPr="004F20D3">
        <w:rPr>
          <w:rFonts w:cs="Arial"/>
          <w:szCs w:val="24"/>
          <w:lang w:val="en-GB"/>
        </w:rPr>
        <w:t>Creating increased opportunities for employment in the City Centre through construction investment in addition to the creation of ongoing employment spaces.</w:t>
      </w:r>
    </w:p>
    <w:p w14:paraId="65A327D6" w14:textId="2AE8C349" w:rsidR="003F056E" w:rsidRPr="004F20D3" w:rsidRDefault="003F056E" w:rsidP="004F20D3">
      <w:pPr>
        <w:pStyle w:val="Bulletlist"/>
        <w:rPr>
          <w:rFonts w:cs="Arial"/>
          <w:szCs w:val="24"/>
          <w:lang w:val="en-GB"/>
        </w:rPr>
      </w:pPr>
      <w:r w:rsidRPr="004F20D3">
        <w:rPr>
          <w:rFonts w:cs="Arial"/>
          <w:szCs w:val="24"/>
          <w:lang w:val="en-GB"/>
        </w:rPr>
        <w:t>Simplifies the zone structure through the removal of some of the public use zone which currently limit the reuse</w:t>
      </w:r>
      <w:r w:rsidR="00630D59" w:rsidRPr="004F20D3">
        <w:rPr>
          <w:rFonts w:cs="Arial"/>
          <w:szCs w:val="24"/>
          <w:lang w:val="en-GB"/>
        </w:rPr>
        <w:t xml:space="preserve"> or sale </w:t>
      </w:r>
      <w:r w:rsidRPr="004F20D3">
        <w:rPr>
          <w:rFonts w:cs="Arial"/>
          <w:szCs w:val="24"/>
          <w:lang w:val="en-GB"/>
        </w:rPr>
        <w:t>of buildings</w:t>
      </w:r>
      <w:r w:rsidR="00630D59" w:rsidRPr="004F20D3">
        <w:rPr>
          <w:rFonts w:cs="Arial"/>
          <w:szCs w:val="24"/>
          <w:lang w:val="en-GB"/>
        </w:rPr>
        <w:t xml:space="preserve"> deemed surplus to government needs.  Reducing the time the building sits idle awaiting rezoning also reduces the risk of vandalism.</w:t>
      </w:r>
    </w:p>
    <w:p w14:paraId="3D75C74D" w14:textId="65BC2E60" w:rsidR="00281912" w:rsidRPr="004F20D3" w:rsidRDefault="00281912" w:rsidP="004F20D3">
      <w:r w:rsidRPr="004F20D3">
        <w:t xml:space="preserve">To ensure that land use planning and urban design parameters in the ACZ1 and UDF are practical, viable and will optimise development outcomes for the Greater Bendigo market an economic assessment was undertaken. The assessment demonstrated that there is a projected longer term (up to 30 years) demand for floorspace in the City Centre that must be accommodated by strategic planning and </w:t>
      </w:r>
      <w:r w:rsidRPr="004F20D3">
        <w:lastRenderedPageBreak/>
        <w:t xml:space="preserve">consequential updates to planning controls, as recommended in the ACZ1.  The assessment also demonstrates that built form capacity provided by the UDF in total is more than adequate to meet projected floorspace demand.  The assessment concluded that the proposed planning controls, based in part of the recommendations of the UDF, are a well-balanced and appropriate response to preserving the intrinsic urban form qualities of </w:t>
      </w:r>
      <w:r w:rsidR="00537CCD">
        <w:t xml:space="preserve">the </w:t>
      </w:r>
      <w:r w:rsidRPr="004F20D3">
        <w:t>City Centre and to the mixed development opportunities and constraints that this urban environment presents.</w:t>
      </w:r>
    </w:p>
    <w:p w14:paraId="1CD6B92F" w14:textId="77777777" w:rsidR="00B02250" w:rsidRPr="00AA5C8A" w:rsidRDefault="00B02250" w:rsidP="00B02250">
      <w:pPr>
        <w:pStyle w:val="Heading3"/>
      </w:pPr>
      <w:r w:rsidRPr="00AA5C8A">
        <w:t>Does the amendment address climate change?</w:t>
      </w:r>
    </w:p>
    <w:p w14:paraId="1E9C2FA8" w14:textId="77777777" w:rsidR="00E213C5" w:rsidRDefault="000E2E24" w:rsidP="00B02250">
      <w:pPr>
        <w:pStyle w:val="Bulletlist"/>
        <w:numPr>
          <w:ilvl w:val="0"/>
          <w:numId w:val="0"/>
        </w:numPr>
        <w:contextualSpacing w:val="0"/>
      </w:pPr>
      <w:r w:rsidRPr="00E213C5">
        <w:t xml:space="preserve">The amendment does consider climate change in accordance with Ministerial Direction 22 Climate Change Consideration under section 12A of the Act.  </w:t>
      </w:r>
      <w:r w:rsidR="003F72DB" w:rsidRPr="00E213C5">
        <w:t xml:space="preserve">Bendigo City Centre is a regional </w:t>
      </w:r>
      <w:r w:rsidR="00E213C5">
        <w:t>c</w:t>
      </w:r>
      <w:r w:rsidR="003F72DB" w:rsidRPr="00E213C5">
        <w:t xml:space="preserve">ity servicing both the local government area and broader region.  </w:t>
      </w:r>
      <w:r w:rsidRPr="00E213C5">
        <w:t>The amendment has a strong focus on facilitating the use of existing infrastructure including the reuse or redevelopment of heritage buildings</w:t>
      </w:r>
      <w:r w:rsidR="003F72DB" w:rsidRPr="00E213C5">
        <w:t xml:space="preserve"> and </w:t>
      </w:r>
      <w:r w:rsidRPr="00E213C5">
        <w:t xml:space="preserve">increasing residential density through </w:t>
      </w:r>
      <w:r w:rsidR="003F72DB" w:rsidRPr="00E213C5">
        <w:t xml:space="preserve">the </w:t>
      </w:r>
      <w:r w:rsidRPr="00E213C5">
        <w:t xml:space="preserve">promotion of a </w:t>
      </w:r>
      <w:r w:rsidR="003F72DB" w:rsidRPr="00E213C5">
        <w:t>mixed-use</w:t>
      </w:r>
      <w:r w:rsidRPr="00E213C5">
        <w:t xml:space="preserve"> compact city</w:t>
      </w:r>
      <w:r w:rsidR="003F72DB" w:rsidRPr="00E213C5">
        <w:t xml:space="preserve"> approach supported by clear, practical design guidelines.  </w:t>
      </w:r>
    </w:p>
    <w:p w14:paraId="3D2235A1" w14:textId="249602B2" w:rsidR="00871513" w:rsidRPr="00E213C5" w:rsidRDefault="003F72DB" w:rsidP="00B02250">
      <w:pPr>
        <w:pStyle w:val="Bulletlist"/>
        <w:numPr>
          <w:ilvl w:val="0"/>
          <w:numId w:val="0"/>
        </w:numPr>
        <w:contextualSpacing w:val="0"/>
      </w:pPr>
      <w:r w:rsidRPr="00E213C5">
        <w:t xml:space="preserve">The planning controls have been designed to optimise the existing highly urbanised environment and leverage accessibility of the </w:t>
      </w:r>
      <w:r w:rsidR="00E213C5" w:rsidRPr="00E213C5">
        <w:t>City Centre which is serviced by</w:t>
      </w:r>
      <w:r w:rsidRPr="00E213C5">
        <w:t xml:space="preserve"> </w:t>
      </w:r>
      <w:r w:rsidR="00871513" w:rsidRPr="00E213C5">
        <w:t xml:space="preserve">key bus networks, Bendigo Train Station and </w:t>
      </w:r>
      <w:r w:rsidR="00E213C5" w:rsidRPr="00E213C5">
        <w:t xml:space="preserve">an expanding </w:t>
      </w:r>
      <w:r w:rsidR="00871513" w:rsidRPr="00E213C5">
        <w:t xml:space="preserve">walking and cycling network.  However, it </w:t>
      </w:r>
      <w:r w:rsidR="00E213C5" w:rsidRPr="00E213C5">
        <w:t>is acknowledged</w:t>
      </w:r>
      <w:r w:rsidR="00871513" w:rsidRPr="00E213C5">
        <w:t xml:space="preserve"> that public transport services are not as frequent as metropolitan areas.  </w:t>
      </w:r>
    </w:p>
    <w:p w14:paraId="3DBB388E" w14:textId="4D67DC0A" w:rsidR="00871513" w:rsidRPr="00E213C5" w:rsidRDefault="00871513" w:rsidP="00B02250">
      <w:pPr>
        <w:pStyle w:val="Bulletlist"/>
        <w:numPr>
          <w:ilvl w:val="0"/>
          <w:numId w:val="0"/>
        </w:numPr>
        <w:contextualSpacing w:val="0"/>
      </w:pPr>
      <w:r w:rsidRPr="00E213C5">
        <w:t xml:space="preserve">A key element of the amendment is the focus on reconsidering how carparking provisions are applied. </w:t>
      </w:r>
      <w:r w:rsidR="00E213C5" w:rsidRPr="00E213C5">
        <w:t xml:space="preserve"> </w:t>
      </w:r>
      <w:r w:rsidRPr="00E213C5">
        <w:t>The amendment recommends the removal of parking minimums to allow easier reuse of heritage buildings, optimisation of available floor space, improved design outcomes and construction cost reduction</w:t>
      </w:r>
      <w:r w:rsidR="00E213C5" w:rsidRPr="00E213C5">
        <w:t>s</w:t>
      </w:r>
      <w:r w:rsidRPr="00E213C5">
        <w:t xml:space="preserve">. </w:t>
      </w:r>
      <w:r w:rsidR="00E213C5" w:rsidRPr="00E213C5">
        <w:t xml:space="preserve"> This supports reduction in vehicle reliance, reduces greenhouse gas emissions and reduces traffic congestion while supporting well located housing and more affordable housing options.  </w:t>
      </w:r>
    </w:p>
    <w:p w14:paraId="34DA5F4D" w14:textId="77777777" w:rsidR="00774A8C" w:rsidRDefault="00774A8C" w:rsidP="00774A8C">
      <w:pPr>
        <w:pStyle w:val="Heading3"/>
      </w:pPr>
      <w:r>
        <w:t>Does the amendment address relevant bushfire risk?</w:t>
      </w:r>
    </w:p>
    <w:p w14:paraId="74EE125A" w14:textId="5996AE9D" w:rsidR="00281912" w:rsidRPr="004F20D3" w:rsidRDefault="00281912" w:rsidP="004F20D3">
      <w:r w:rsidRPr="004F20D3">
        <w:t xml:space="preserve">The land subject to the </w:t>
      </w:r>
      <w:r w:rsidR="005D773F">
        <w:t xml:space="preserve">proposed </w:t>
      </w:r>
      <w:r w:rsidRPr="004F20D3">
        <w:t xml:space="preserve">amendment is not affected by the Bushfire Management Overlay or designated as a ‘Bushfire Prone Area’.  Further the amendment does not propose to use or develop land in a way that </w:t>
      </w:r>
      <w:r w:rsidR="008D459A">
        <w:t>would</w:t>
      </w:r>
      <w:r w:rsidRPr="004F20D3">
        <w:t xml:space="preserve"> create a bushfire hazard in this highly urbanised commercial core of the City Centre.  </w:t>
      </w:r>
    </w:p>
    <w:p w14:paraId="14DDC999" w14:textId="7B478391" w:rsidR="00694CDB" w:rsidRDefault="00281912" w:rsidP="004F20D3">
      <w:r w:rsidRPr="004F20D3">
        <w:t xml:space="preserve">A local policy for bushfire risk management is not relevant or required to support the </w:t>
      </w:r>
      <w:r w:rsidR="008D459A">
        <w:t xml:space="preserve">proposed </w:t>
      </w:r>
      <w:r w:rsidRPr="004F20D3">
        <w:t>amendment.</w:t>
      </w:r>
    </w:p>
    <w:p w14:paraId="7B08DA17" w14:textId="77777777" w:rsidR="009710CB" w:rsidRDefault="009710CB" w:rsidP="009710CB">
      <w:pPr>
        <w:pStyle w:val="Heading3"/>
      </w:pPr>
      <w:r>
        <w:t>Does the amendment comply with the requirements of any other Minister’s Direction applicable to the amendment?</w:t>
      </w:r>
    </w:p>
    <w:p w14:paraId="47D497FE" w14:textId="3593DC86" w:rsidR="00281912" w:rsidRPr="008A1222" w:rsidRDefault="00281912" w:rsidP="008A1222">
      <w:r w:rsidRPr="008A1222">
        <w:t xml:space="preserve">The </w:t>
      </w:r>
      <w:r w:rsidR="008D459A">
        <w:t xml:space="preserve">proposed </w:t>
      </w:r>
      <w:r w:rsidRPr="008A1222">
        <w:t xml:space="preserve">amendment complies with the requirements of the </w:t>
      </w:r>
      <w:r w:rsidRPr="008A1222">
        <w:rPr>
          <w:i/>
        </w:rPr>
        <w:t>Ministerial Direction</w:t>
      </w:r>
      <w:r w:rsidR="002E475F">
        <w:rPr>
          <w:i/>
        </w:rPr>
        <w:t xml:space="preserve"> – The </w:t>
      </w:r>
      <w:r w:rsidRPr="008A1222">
        <w:rPr>
          <w:i/>
        </w:rPr>
        <w:t xml:space="preserve">Form and Content of Planning Schemes </w:t>
      </w:r>
      <w:r w:rsidRPr="008A1222">
        <w:t xml:space="preserve">under section 7(5) of the Act </w:t>
      </w:r>
      <w:r w:rsidR="009E285A">
        <w:t xml:space="preserve">by using </w:t>
      </w:r>
      <w:r w:rsidRPr="008A1222">
        <w:lastRenderedPageBreak/>
        <w:t>relevant templates</w:t>
      </w:r>
      <w:r w:rsidR="009E285A">
        <w:t xml:space="preserve"> and</w:t>
      </w:r>
      <w:r w:rsidRPr="008A1222">
        <w:t xml:space="preserve"> practice notes and </w:t>
      </w:r>
      <w:r w:rsidR="0098665E">
        <w:t xml:space="preserve">responding </w:t>
      </w:r>
      <w:r w:rsidR="009E285A">
        <w:t xml:space="preserve">to </w:t>
      </w:r>
      <w:r w:rsidRPr="008A1222">
        <w:t xml:space="preserve">advice from relevant authorities. </w:t>
      </w:r>
    </w:p>
    <w:p w14:paraId="41D7CA5C" w14:textId="2C3E7FD6" w:rsidR="00281912" w:rsidRPr="008A1222" w:rsidRDefault="00281912" w:rsidP="008A1222">
      <w:r w:rsidRPr="008A1222">
        <w:t xml:space="preserve">The </w:t>
      </w:r>
      <w:r w:rsidR="008D459A">
        <w:t xml:space="preserve">proposed </w:t>
      </w:r>
      <w:r w:rsidRPr="008A1222">
        <w:t>amendment also complies with other applicable Minister’s Directions under section 12(2)(a) of the Act as follows:</w:t>
      </w:r>
    </w:p>
    <w:p w14:paraId="0E7AF228" w14:textId="1D13B255" w:rsidR="00281912" w:rsidRPr="008A1222" w:rsidRDefault="00281912" w:rsidP="008A1222">
      <w:pPr>
        <w:pStyle w:val="Bulletlist"/>
        <w:rPr>
          <w:rFonts w:cs="Arial"/>
          <w:szCs w:val="24"/>
          <w:lang w:val="en-GB"/>
        </w:rPr>
      </w:pPr>
      <w:r w:rsidRPr="008A1222">
        <w:rPr>
          <w:rFonts w:cs="Arial"/>
          <w:szCs w:val="24"/>
          <w:lang w:val="en-GB"/>
        </w:rPr>
        <w:t xml:space="preserve">Ministerial Direction No. 1 – </w:t>
      </w:r>
      <w:r w:rsidRPr="008A1222">
        <w:rPr>
          <w:rFonts w:cs="Arial"/>
          <w:i/>
          <w:szCs w:val="24"/>
          <w:lang w:val="en-GB"/>
        </w:rPr>
        <w:t xml:space="preserve">Potentially </w:t>
      </w:r>
      <w:r w:rsidRPr="00C61946">
        <w:rPr>
          <w:rFonts w:cs="Arial"/>
          <w:i/>
          <w:szCs w:val="24"/>
          <w:lang w:val="en-GB"/>
        </w:rPr>
        <w:t>Contamin</w:t>
      </w:r>
      <w:r w:rsidRPr="008A1222">
        <w:rPr>
          <w:rFonts w:cs="Arial"/>
          <w:i/>
          <w:szCs w:val="24"/>
          <w:lang w:val="en-GB"/>
        </w:rPr>
        <w:t>ated Land</w:t>
      </w:r>
      <w:r w:rsidRPr="008A1222">
        <w:rPr>
          <w:rFonts w:cs="Arial"/>
          <w:szCs w:val="24"/>
          <w:lang w:val="en-GB"/>
        </w:rPr>
        <w:t xml:space="preserve"> – the requirements of this </w:t>
      </w:r>
      <w:r w:rsidR="00545F0A">
        <w:rPr>
          <w:rFonts w:cs="Arial"/>
          <w:szCs w:val="24"/>
          <w:lang w:val="en-GB"/>
        </w:rPr>
        <w:t>ministerial direction</w:t>
      </w:r>
      <w:r w:rsidRPr="008A1222">
        <w:rPr>
          <w:rFonts w:cs="Arial"/>
          <w:szCs w:val="24"/>
          <w:lang w:val="en-GB"/>
        </w:rPr>
        <w:t xml:space="preserve"> have been addressed by proposing to apply the EAO to </w:t>
      </w:r>
      <w:r w:rsidR="009C0EC3">
        <w:rPr>
          <w:rFonts w:cs="Arial"/>
          <w:szCs w:val="24"/>
          <w:lang w:val="en-GB"/>
        </w:rPr>
        <w:t xml:space="preserve">sites currently zoned Commercial 2 </w:t>
      </w:r>
      <w:r w:rsidR="00C35DE3">
        <w:rPr>
          <w:rFonts w:cs="Arial"/>
          <w:szCs w:val="24"/>
          <w:lang w:val="en-GB"/>
        </w:rPr>
        <w:t>Z</w:t>
      </w:r>
      <w:r w:rsidR="009C0EC3">
        <w:rPr>
          <w:rFonts w:cs="Arial"/>
          <w:szCs w:val="24"/>
          <w:lang w:val="en-GB"/>
        </w:rPr>
        <w:t>one</w:t>
      </w:r>
      <w:r w:rsidR="00D67030">
        <w:rPr>
          <w:rFonts w:cs="Arial"/>
          <w:szCs w:val="24"/>
          <w:lang w:val="en-GB"/>
        </w:rPr>
        <w:t xml:space="preserve"> </w:t>
      </w:r>
      <w:r w:rsidR="00193BFC">
        <w:rPr>
          <w:rFonts w:cs="Arial"/>
          <w:szCs w:val="24"/>
          <w:lang w:val="en-GB"/>
        </w:rPr>
        <w:t xml:space="preserve">in the </w:t>
      </w:r>
      <w:r w:rsidR="00D67030">
        <w:rPr>
          <w:rFonts w:cs="Arial"/>
          <w:szCs w:val="24"/>
          <w:lang w:val="en-GB"/>
        </w:rPr>
        <w:t>Bendigo</w:t>
      </w:r>
      <w:r w:rsidR="009C0EC3">
        <w:rPr>
          <w:rFonts w:cs="Arial"/>
          <w:szCs w:val="24"/>
          <w:lang w:val="en-GB"/>
        </w:rPr>
        <w:t xml:space="preserve"> City Centre</w:t>
      </w:r>
      <w:r w:rsidR="00FB0B2B">
        <w:rPr>
          <w:rFonts w:cs="Arial"/>
          <w:szCs w:val="24"/>
          <w:lang w:val="en-GB"/>
        </w:rPr>
        <w:t xml:space="preserve"> that </w:t>
      </w:r>
      <w:r w:rsidR="00715CC7">
        <w:rPr>
          <w:rFonts w:cs="Arial"/>
          <w:szCs w:val="24"/>
          <w:lang w:val="en-GB"/>
        </w:rPr>
        <w:t>are</w:t>
      </w:r>
      <w:r w:rsidR="00FB0B2B">
        <w:rPr>
          <w:rFonts w:cs="Arial"/>
          <w:szCs w:val="24"/>
          <w:lang w:val="en-GB"/>
        </w:rPr>
        <w:t xml:space="preserve"> deemed to be potentially contaminated land</w:t>
      </w:r>
      <w:r w:rsidR="00F95C24">
        <w:rPr>
          <w:rFonts w:cs="Arial"/>
          <w:szCs w:val="24"/>
          <w:lang w:val="en-GB"/>
        </w:rPr>
        <w:t xml:space="preserve">, based on </w:t>
      </w:r>
      <w:r w:rsidR="0076691A">
        <w:rPr>
          <w:rFonts w:cs="Arial"/>
          <w:szCs w:val="24"/>
          <w:lang w:val="en-GB"/>
        </w:rPr>
        <w:t>the existing use of these properties.</w:t>
      </w:r>
      <w:r w:rsidR="00080D7C">
        <w:rPr>
          <w:rFonts w:cs="Arial"/>
          <w:szCs w:val="24"/>
          <w:lang w:val="en-GB"/>
        </w:rPr>
        <w:t xml:space="preserve"> </w:t>
      </w:r>
      <w:r w:rsidR="002F4145">
        <w:rPr>
          <w:rFonts w:cs="Arial"/>
          <w:szCs w:val="24"/>
          <w:lang w:val="en-GB"/>
        </w:rPr>
        <w:t>It is appropriate to defer the re</w:t>
      </w:r>
      <w:r w:rsidR="00BD67B7">
        <w:rPr>
          <w:rFonts w:cs="Arial"/>
          <w:szCs w:val="24"/>
          <w:lang w:val="en-GB"/>
        </w:rPr>
        <w:t>quirements of the ministerial direction through t</w:t>
      </w:r>
      <w:r w:rsidR="00080D7C">
        <w:rPr>
          <w:rFonts w:cs="Arial"/>
          <w:szCs w:val="24"/>
          <w:lang w:val="en-GB"/>
        </w:rPr>
        <w:t xml:space="preserve">he application </w:t>
      </w:r>
      <w:r w:rsidR="00F00FDF">
        <w:rPr>
          <w:rFonts w:cs="Arial"/>
          <w:szCs w:val="24"/>
          <w:lang w:val="en-GB"/>
        </w:rPr>
        <w:t>of the EAO</w:t>
      </w:r>
      <w:r w:rsidR="00BD67B7">
        <w:rPr>
          <w:rFonts w:cs="Arial"/>
          <w:szCs w:val="24"/>
          <w:lang w:val="en-GB"/>
        </w:rPr>
        <w:t>, as</w:t>
      </w:r>
      <w:r w:rsidR="00AD4BB2">
        <w:rPr>
          <w:rFonts w:cs="Arial"/>
          <w:szCs w:val="24"/>
          <w:lang w:val="en-GB"/>
        </w:rPr>
        <w:t xml:space="preserve"> there is no indication of any imminent proposal to redevelop these properties</w:t>
      </w:r>
      <w:r w:rsidR="000B67FA">
        <w:rPr>
          <w:rFonts w:cs="Arial"/>
          <w:szCs w:val="24"/>
          <w:lang w:val="en-GB"/>
        </w:rPr>
        <w:t xml:space="preserve"> for sensitive uses.</w:t>
      </w:r>
    </w:p>
    <w:p w14:paraId="1DA8ADFE" w14:textId="77777777" w:rsidR="00281912" w:rsidRPr="008A1222" w:rsidRDefault="00281912" w:rsidP="008A1222">
      <w:pPr>
        <w:pStyle w:val="Bulletlist"/>
        <w:rPr>
          <w:rFonts w:cs="Arial"/>
          <w:szCs w:val="24"/>
          <w:lang w:val="en-GB"/>
        </w:rPr>
      </w:pPr>
      <w:r w:rsidRPr="008A1222">
        <w:rPr>
          <w:rFonts w:cs="Arial"/>
          <w:szCs w:val="24"/>
          <w:lang w:val="en-GB"/>
        </w:rPr>
        <w:t xml:space="preserve">Ministerial Direction No. 11 – </w:t>
      </w:r>
      <w:r w:rsidRPr="008A1222">
        <w:rPr>
          <w:rFonts w:cs="Arial"/>
          <w:i/>
          <w:szCs w:val="24"/>
          <w:lang w:val="en-GB"/>
        </w:rPr>
        <w:t>Strategic Assessment of Amendments</w:t>
      </w:r>
      <w:r w:rsidRPr="008A1222">
        <w:rPr>
          <w:rFonts w:cs="Arial"/>
          <w:szCs w:val="24"/>
          <w:lang w:val="en-GB"/>
        </w:rPr>
        <w:t xml:space="preserve"> – the requirements of this Direction are met through the preparation of this explanatory report which also addresses resourcing and administration costs as a result of the amendment.  </w:t>
      </w:r>
    </w:p>
    <w:p w14:paraId="6B27AB5C" w14:textId="1FB5975A" w:rsidR="00281912" w:rsidRDefault="00281912" w:rsidP="008A1222">
      <w:pPr>
        <w:pStyle w:val="Bulletlist"/>
        <w:rPr>
          <w:rFonts w:cs="Arial"/>
          <w:szCs w:val="24"/>
          <w:lang w:val="en-GB"/>
        </w:rPr>
      </w:pPr>
      <w:r w:rsidRPr="008A1222">
        <w:rPr>
          <w:rFonts w:cs="Arial"/>
          <w:szCs w:val="24"/>
          <w:lang w:val="en-GB"/>
        </w:rPr>
        <w:t xml:space="preserve">Ministerial Direction No. 15 – </w:t>
      </w:r>
      <w:r w:rsidRPr="008A1222">
        <w:rPr>
          <w:rFonts w:cs="Arial"/>
          <w:i/>
          <w:szCs w:val="24"/>
          <w:lang w:val="en-GB"/>
        </w:rPr>
        <w:t>The Planning Scheme Amendment Process</w:t>
      </w:r>
      <w:r w:rsidRPr="008A1222">
        <w:rPr>
          <w:rFonts w:cs="Arial"/>
          <w:szCs w:val="24"/>
          <w:lang w:val="en-GB"/>
        </w:rPr>
        <w:t xml:space="preserve"> – the amendment will advance in accordance with the steps and timing specified in this </w:t>
      </w:r>
      <w:r w:rsidR="003A27CF">
        <w:rPr>
          <w:rFonts w:cs="Arial"/>
          <w:szCs w:val="24"/>
          <w:lang w:val="en-GB"/>
        </w:rPr>
        <w:t>d</w:t>
      </w:r>
      <w:r w:rsidRPr="008A1222">
        <w:rPr>
          <w:rFonts w:cs="Arial"/>
          <w:szCs w:val="24"/>
          <w:lang w:val="en-GB"/>
        </w:rPr>
        <w:t xml:space="preserve">irection or by additional advice received from relevant authorities.  </w:t>
      </w:r>
    </w:p>
    <w:p w14:paraId="558DBA06" w14:textId="77777777" w:rsidR="00193BFC" w:rsidRDefault="00193BFC" w:rsidP="00735872">
      <w:pPr>
        <w:pStyle w:val="Bulletlist"/>
        <w:widowControl/>
        <w:autoSpaceDE/>
        <w:autoSpaceDN/>
        <w:spacing w:before="100" w:beforeAutospacing="1" w:after="100" w:afterAutospacing="1" w:line="240" w:lineRule="auto"/>
        <w:rPr>
          <w:rFonts w:eastAsia="Times New Roman" w:cs="Arial"/>
          <w:color w:val="000000"/>
          <w:szCs w:val="24"/>
          <w:lang w:bidi="ar-SA"/>
        </w:rPr>
      </w:pPr>
      <w:r w:rsidRPr="00193BFC">
        <w:rPr>
          <w:rFonts w:cs="Arial"/>
          <w:szCs w:val="24"/>
          <w:lang w:val="en-GB"/>
        </w:rPr>
        <w:t xml:space="preserve">Ministerial Direction No. 19 - </w:t>
      </w:r>
      <w:r w:rsidRPr="00193BFC">
        <w:rPr>
          <w:rFonts w:cs="Arial"/>
          <w:i/>
          <w:iCs/>
          <w:szCs w:val="24"/>
          <w:lang w:val="en-GB"/>
        </w:rPr>
        <w:t>The Preparation and Content of Amendments that may Significantly Impact the Environment, Amenity and Human Health</w:t>
      </w:r>
      <w:r w:rsidRPr="00193BFC">
        <w:rPr>
          <w:rFonts w:cs="Arial"/>
          <w:szCs w:val="24"/>
          <w:lang w:val="en-GB"/>
        </w:rPr>
        <w:t xml:space="preserve"> - </w:t>
      </w:r>
      <w:r>
        <w:rPr>
          <w:rFonts w:eastAsia="Times New Roman" w:cs="Arial"/>
          <w:color w:val="000000"/>
          <w:szCs w:val="24"/>
          <w:lang w:bidi="ar-SA"/>
        </w:rPr>
        <w:t>t</w:t>
      </w:r>
      <w:r w:rsidRPr="00193BFC">
        <w:rPr>
          <w:rFonts w:eastAsia="Times New Roman" w:cs="Arial"/>
          <w:color w:val="000000"/>
          <w:szCs w:val="24"/>
          <w:lang w:bidi="ar-SA"/>
        </w:rPr>
        <w:t xml:space="preserve">his Direction applies to the preparation of planning scheme amendments that may allow the use or development of potentially contaminated land, and/or trigger the requirements of Ministerial Direction No. 1 or State Environment Protection Policy (Prevention and Management of Contamination of Land. </w:t>
      </w:r>
    </w:p>
    <w:p w14:paraId="0F89CB75" w14:textId="77777777" w:rsidR="00193BFC" w:rsidRDefault="00193BFC" w:rsidP="00193BFC">
      <w:pPr>
        <w:pStyle w:val="Bulletlist"/>
        <w:widowControl/>
        <w:numPr>
          <w:ilvl w:val="0"/>
          <w:numId w:val="0"/>
        </w:numPr>
        <w:autoSpaceDE/>
        <w:autoSpaceDN/>
        <w:spacing w:before="100" w:beforeAutospacing="1" w:after="100" w:afterAutospacing="1" w:line="240" w:lineRule="auto"/>
        <w:ind w:left="360"/>
        <w:rPr>
          <w:rFonts w:eastAsia="Times New Roman" w:cs="Arial"/>
          <w:color w:val="000000"/>
          <w:szCs w:val="24"/>
          <w:lang w:bidi="ar-SA"/>
        </w:rPr>
      </w:pPr>
    </w:p>
    <w:p w14:paraId="055D98B7" w14:textId="510C3CBA" w:rsidR="006C1784" w:rsidRPr="006C1784" w:rsidRDefault="00193BFC" w:rsidP="00193BFC">
      <w:pPr>
        <w:pStyle w:val="Bulletlist"/>
        <w:widowControl/>
        <w:numPr>
          <w:ilvl w:val="0"/>
          <w:numId w:val="0"/>
        </w:numPr>
        <w:autoSpaceDE/>
        <w:autoSpaceDN/>
        <w:spacing w:before="100" w:beforeAutospacing="1" w:after="100" w:afterAutospacing="1" w:line="240" w:lineRule="auto"/>
        <w:ind w:left="360"/>
        <w:rPr>
          <w:rFonts w:eastAsia="Times New Roman" w:cs="Arial"/>
          <w:color w:val="000000"/>
          <w:szCs w:val="24"/>
          <w:lang w:bidi="ar-SA"/>
        </w:rPr>
      </w:pPr>
      <w:r>
        <w:rPr>
          <w:rFonts w:eastAsia="Times New Roman" w:cs="Arial"/>
          <w:color w:val="000000"/>
          <w:szCs w:val="24"/>
          <w:lang w:bidi="ar-SA"/>
        </w:rPr>
        <w:t xml:space="preserve">Therefore, this Direction applies to land currently zoned Commercial 2 Zone.  The Commercial 2 Zone does not allow sensitive uses such as residential development.  This land is now proposed to be rezoned to Activity Centre Zone which does allow residential uses.  Initial discussions with the Environment Protection Authority, advised that they would formally respond during the exhibition process.  However, </w:t>
      </w:r>
      <w:r w:rsidR="005A6A49">
        <w:rPr>
          <w:rFonts w:eastAsia="Times New Roman" w:cs="Arial"/>
          <w:color w:val="000000"/>
          <w:szCs w:val="24"/>
          <w:lang w:bidi="ar-SA"/>
        </w:rPr>
        <w:t xml:space="preserve">they </w:t>
      </w:r>
      <w:r>
        <w:rPr>
          <w:rFonts w:eastAsia="Times New Roman" w:cs="Arial"/>
          <w:color w:val="000000"/>
          <w:szCs w:val="24"/>
          <w:lang w:bidi="ar-SA"/>
        </w:rPr>
        <w:t xml:space="preserve">recommended a review of past uses of the area.  The area is generally light industrial/bulky goods now; however, records are fairly limited for some sites.  In taking a precautionary approach, an Environmental Audit Overlay has been recommended.  All impacted property owners and occupiers will be formally advised as part of the exhibition of the amendment.  Any submissions received providing additional information will be shared with the EPA.  </w:t>
      </w:r>
      <w:r w:rsidR="006C1784" w:rsidRPr="006C1784">
        <w:rPr>
          <w:rFonts w:eastAsia="Times New Roman" w:cs="Arial"/>
          <w:color w:val="000000"/>
          <w:szCs w:val="24"/>
          <w:lang w:bidi="ar-SA"/>
        </w:rPr>
        <w:t>The views of the EPA will be sought through the formal exhibition of the amendment.</w:t>
      </w:r>
    </w:p>
    <w:p w14:paraId="5F7954F5" w14:textId="77777777" w:rsidR="00F12C72" w:rsidRDefault="00F12C72" w:rsidP="00F12C72">
      <w:pPr>
        <w:pStyle w:val="Heading3"/>
      </w:pPr>
      <w:r>
        <w:t>How does the amendment support or implement the Planning Policy Framework and any adopted State policy?</w:t>
      </w:r>
    </w:p>
    <w:p w14:paraId="78884AD8" w14:textId="77777777" w:rsidR="00281912" w:rsidRPr="00934FA7" w:rsidRDefault="00281912" w:rsidP="00934FA7">
      <w:r w:rsidRPr="00934FA7">
        <w:t>The amendment supports and implements the following state, regional and local policies in the Planning Policy Framework:</w:t>
      </w:r>
    </w:p>
    <w:p w14:paraId="1FAC2F4A"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11.01-1S – </w:t>
      </w:r>
      <w:r w:rsidRPr="00934FA7">
        <w:rPr>
          <w:rFonts w:cs="Arial"/>
          <w:b/>
          <w:szCs w:val="24"/>
          <w:lang w:val="en-GB"/>
        </w:rPr>
        <w:t>Settlement</w:t>
      </w:r>
      <w:r w:rsidRPr="00934FA7">
        <w:rPr>
          <w:rFonts w:cs="Arial"/>
          <w:szCs w:val="24"/>
          <w:lang w:val="en-GB"/>
        </w:rPr>
        <w:t xml:space="preserve"> by supporting Bendigo as an important major </w:t>
      </w:r>
      <w:r w:rsidRPr="00934FA7">
        <w:rPr>
          <w:rFonts w:cs="Arial"/>
          <w:szCs w:val="24"/>
          <w:lang w:val="en-GB"/>
        </w:rPr>
        <w:lastRenderedPageBreak/>
        <w:t>regional city which is part of the broader settlement framework of Victoria including the development of planning controls that directly facilitate population and economic growth making Bendigo an attractive destination.</w:t>
      </w:r>
    </w:p>
    <w:p w14:paraId="2B9EF63C"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11.01-1R – </w:t>
      </w:r>
      <w:r w:rsidRPr="00934FA7">
        <w:rPr>
          <w:rFonts w:cs="Arial"/>
          <w:b/>
          <w:szCs w:val="24"/>
          <w:lang w:val="en-GB"/>
        </w:rPr>
        <w:t>Settlement – Loddon Mallee South</w:t>
      </w:r>
      <w:r w:rsidRPr="00934FA7">
        <w:rPr>
          <w:rFonts w:cs="Arial"/>
          <w:szCs w:val="24"/>
          <w:lang w:val="en-GB"/>
        </w:rPr>
        <w:t xml:space="preserve"> by supporting Bendigo as the regional city and major population and economic growth hub for the region and directly facilitates increased commercial and residential densities, mixed use development, and revitalisation projects for underutilised sites and land in the City Centre.</w:t>
      </w:r>
    </w:p>
    <w:p w14:paraId="0C593929"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11.01-1L – </w:t>
      </w:r>
      <w:r w:rsidRPr="00934FA7">
        <w:rPr>
          <w:rFonts w:cs="Arial"/>
          <w:b/>
          <w:szCs w:val="24"/>
          <w:lang w:val="en-GB"/>
        </w:rPr>
        <w:t>Settlement – Greater Bendigo</w:t>
      </w:r>
      <w:r w:rsidRPr="00934FA7">
        <w:rPr>
          <w:rFonts w:cs="Arial"/>
          <w:szCs w:val="24"/>
          <w:lang w:val="en-GB"/>
        </w:rPr>
        <w:t xml:space="preserve"> by supporting a compact city centre that facilitate additional residential density, optimises existing infrastructure capacity and provides alternatives to the traditional greenfield or residential housing estates. </w:t>
      </w:r>
    </w:p>
    <w:p w14:paraId="55F299CF"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11.02-1S – </w:t>
      </w:r>
      <w:r w:rsidRPr="00934FA7">
        <w:rPr>
          <w:rFonts w:cs="Arial"/>
          <w:b/>
          <w:szCs w:val="24"/>
          <w:lang w:val="en-GB"/>
        </w:rPr>
        <w:t>Supply of urban land</w:t>
      </w:r>
      <w:r w:rsidRPr="00934FA7">
        <w:rPr>
          <w:rFonts w:cs="Arial"/>
          <w:szCs w:val="24"/>
          <w:lang w:val="en-GB"/>
        </w:rPr>
        <w:t xml:space="preserve"> by ensuring the sufficient provision of land in the City Centre to accommodate residential, commercial, retail, industrial, recreational, institutional and other community uses.</w:t>
      </w:r>
    </w:p>
    <w:p w14:paraId="570371B7"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11.02-2S – </w:t>
      </w:r>
      <w:r w:rsidRPr="00934FA7">
        <w:rPr>
          <w:rFonts w:cs="Arial"/>
          <w:b/>
          <w:szCs w:val="24"/>
          <w:lang w:val="en-GB"/>
        </w:rPr>
        <w:t>Structure planning</w:t>
      </w:r>
      <w:r w:rsidRPr="00934FA7">
        <w:rPr>
          <w:rFonts w:cs="Arial"/>
          <w:szCs w:val="24"/>
          <w:lang w:val="en-GB"/>
        </w:rPr>
        <w:t xml:space="preserve"> by ensuring the clear direct of precinct area purpose and function so the City Centre can accommodate residential, commercial, retail, industrial, recreational, institutional and other community uses while reducing any adverse impacts to the existing urban fabric.</w:t>
      </w:r>
    </w:p>
    <w:p w14:paraId="3A2E5950" w14:textId="77777777" w:rsidR="00281912" w:rsidRPr="00934FA7" w:rsidRDefault="00281912" w:rsidP="00934FA7">
      <w:pPr>
        <w:pStyle w:val="Bulletlist"/>
        <w:rPr>
          <w:rFonts w:cs="Arial"/>
          <w:szCs w:val="24"/>
          <w:lang w:val="en-GB"/>
        </w:rPr>
      </w:pPr>
      <w:r w:rsidRPr="00934FA7">
        <w:rPr>
          <w:rFonts w:cs="Arial"/>
          <w:szCs w:val="24"/>
          <w:lang w:val="en-GB"/>
        </w:rPr>
        <w:t xml:space="preserve">Clause 11.03-1S – </w:t>
      </w:r>
      <w:r w:rsidRPr="00934FA7">
        <w:rPr>
          <w:rFonts w:cs="Arial"/>
          <w:b/>
          <w:szCs w:val="24"/>
          <w:lang w:val="en-GB"/>
        </w:rPr>
        <w:t>Activity centres</w:t>
      </w:r>
      <w:r w:rsidRPr="00934FA7">
        <w:rPr>
          <w:rFonts w:cs="Arial"/>
          <w:szCs w:val="24"/>
          <w:lang w:val="en-GB"/>
        </w:rPr>
        <w:t xml:space="preserve"> by supporting the concentration of major retail, residential, commercial, administrative, entertainment and cultural developments in an activity centre that is highly accessible to the community.</w:t>
      </w:r>
    </w:p>
    <w:p w14:paraId="1F25381E" w14:textId="11BB7263" w:rsidR="00281912" w:rsidRPr="00934FA7" w:rsidRDefault="00281912" w:rsidP="00934FA7">
      <w:pPr>
        <w:pStyle w:val="Bulletlist"/>
        <w:rPr>
          <w:rFonts w:cs="Arial"/>
          <w:szCs w:val="24"/>
          <w:lang w:val="en-GB"/>
        </w:rPr>
      </w:pPr>
      <w:r w:rsidRPr="00934FA7">
        <w:rPr>
          <w:rFonts w:cs="Arial"/>
          <w:szCs w:val="24"/>
          <w:lang w:val="en-GB"/>
        </w:rPr>
        <w:t xml:space="preserve">Clause 13.01-1S – </w:t>
      </w:r>
      <w:r w:rsidRPr="00934FA7">
        <w:rPr>
          <w:rFonts w:cs="Arial"/>
          <w:b/>
          <w:szCs w:val="24"/>
          <w:lang w:val="en-GB"/>
        </w:rPr>
        <w:t>Natural hazards and climate change</w:t>
      </w:r>
      <w:r w:rsidRPr="00934FA7">
        <w:rPr>
          <w:rFonts w:cs="Arial"/>
          <w:szCs w:val="24"/>
          <w:lang w:val="en-GB"/>
        </w:rPr>
        <w:t xml:space="preserve"> by supporting a compact city that promotes active travel and the reuse of existing heritage buildings while focussing on the </w:t>
      </w:r>
      <w:r w:rsidR="00FA40AD" w:rsidRPr="00934FA7">
        <w:rPr>
          <w:rFonts w:cs="Arial"/>
          <w:szCs w:val="24"/>
          <w:lang w:val="en-GB"/>
        </w:rPr>
        <w:t>high-quality</w:t>
      </w:r>
      <w:r w:rsidRPr="00934FA7">
        <w:rPr>
          <w:rFonts w:cs="Arial"/>
          <w:szCs w:val="24"/>
          <w:lang w:val="en-GB"/>
        </w:rPr>
        <w:t xml:space="preserve"> design standards required to consider environmental overlays such as inundation, orientation, materials, access to light, shade and internal layout.  </w:t>
      </w:r>
    </w:p>
    <w:p w14:paraId="71E69982" w14:textId="77777777" w:rsidR="00281912" w:rsidRPr="00934FA7" w:rsidRDefault="00281912" w:rsidP="00934FA7">
      <w:pPr>
        <w:pStyle w:val="Bulletlist"/>
        <w:rPr>
          <w:rFonts w:cs="Arial"/>
          <w:szCs w:val="24"/>
          <w:lang w:val="en-GB"/>
        </w:rPr>
      </w:pPr>
      <w:r w:rsidRPr="00934FA7">
        <w:rPr>
          <w:rFonts w:cs="Arial"/>
          <w:szCs w:val="24"/>
          <w:lang w:val="en-GB"/>
        </w:rPr>
        <w:t xml:space="preserve">Clause 13.04-1S – </w:t>
      </w:r>
      <w:r w:rsidRPr="00934FA7">
        <w:rPr>
          <w:rFonts w:cs="Arial"/>
          <w:b/>
          <w:szCs w:val="24"/>
          <w:lang w:val="en-GB"/>
        </w:rPr>
        <w:t>Contaminated and potentially contaminated land</w:t>
      </w:r>
      <w:r w:rsidRPr="00934FA7">
        <w:rPr>
          <w:rFonts w:cs="Arial"/>
          <w:szCs w:val="24"/>
          <w:lang w:val="en-GB"/>
        </w:rPr>
        <w:t xml:space="preserve"> by applying an EAO to potentially-contaminated land to ensure that it is suitable and safe for its intended future use and development safely.</w:t>
      </w:r>
    </w:p>
    <w:p w14:paraId="369BFC6D"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15.01-1S – </w:t>
      </w:r>
      <w:r w:rsidRPr="00934FA7">
        <w:rPr>
          <w:rFonts w:cs="Arial"/>
          <w:b/>
          <w:szCs w:val="24"/>
          <w:lang w:val="en-GB"/>
        </w:rPr>
        <w:t>Urban design</w:t>
      </w:r>
      <w:r w:rsidRPr="00934FA7">
        <w:rPr>
          <w:rFonts w:cs="Arial"/>
          <w:szCs w:val="24"/>
          <w:lang w:val="en-GB"/>
        </w:rPr>
        <w:t xml:space="preserve"> by supporting the creation of urban environments that are safe, healthy, functional and enjoyable and that contribute to a sense of place and cultural identity.</w:t>
      </w:r>
    </w:p>
    <w:p w14:paraId="192FA02A" w14:textId="77777777" w:rsidR="00281912" w:rsidRDefault="00281912" w:rsidP="00934FA7">
      <w:pPr>
        <w:pStyle w:val="Bulletlist"/>
        <w:rPr>
          <w:rFonts w:cs="Arial"/>
          <w:szCs w:val="24"/>
          <w:lang w:val="en-GB"/>
        </w:rPr>
      </w:pPr>
      <w:r w:rsidRPr="00934FA7">
        <w:rPr>
          <w:rFonts w:cs="Arial"/>
          <w:szCs w:val="24"/>
          <w:lang w:val="en-GB"/>
        </w:rPr>
        <w:t xml:space="preserve">Clause 15.01-2S – </w:t>
      </w:r>
      <w:r w:rsidRPr="00934FA7">
        <w:rPr>
          <w:rFonts w:cs="Arial"/>
          <w:b/>
          <w:szCs w:val="24"/>
          <w:lang w:val="en-GB"/>
        </w:rPr>
        <w:t>Building design</w:t>
      </w:r>
      <w:r w:rsidRPr="00934FA7">
        <w:rPr>
          <w:rFonts w:cs="Arial"/>
          <w:szCs w:val="24"/>
          <w:lang w:val="en-GB"/>
        </w:rPr>
        <w:t xml:space="preserve"> by promoting building design outcomes that contribute positively to the local context and enhances the public realm.</w:t>
      </w:r>
    </w:p>
    <w:p w14:paraId="0AD8B2AE" w14:textId="50ABFF27" w:rsidR="00FA40AD" w:rsidRDefault="00FA40AD" w:rsidP="00FA40AD">
      <w:pPr>
        <w:pStyle w:val="Bulletlist"/>
        <w:rPr>
          <w:rFonts w:cs="Arial"/>
          <w:szCs w:val="24"/>
          <w:lang w:val="en-GB"/>
        </w:rPr>
      </w:pPr>
      <w:r w:rsidRPr="00934FA7">
        <w:rPr>
          <w:rFonts w:cs="Arial"/>
          <w:szCs w:val="24"/>
          <w:lang w:val="en-GB"/>
        </w:rPr>
        <w:t>Clause 15.01-</w:t>
      </w:r>
      <w:r>
        <w:rPr>
          <w:rFonts w:cs="Arial"/>
          <w:szCs w:val="24"/>
          <w:lang w:val="en-GB"/>
        </w:rPr>
        <w:t>5L-01</w:t>
      </w:r>
      <w:r w:rsidRPr="00934FA7">
        <w:rPr>
          <w:rFonts w:cs="Arial"/>
          <w:szCs w:val="24"/>
          <w:lang w:val="en-GB"/>
        </w:rPr>
        <w:t xml:space="preserve"> – </w:t>
      </w:r>
      <w:r>
        <w:rPr>
          <w:rFonts w:cs="Arial"/>
          <w:b/>
          <w:szCs w:val="24"/>
          <w:lang w:val="en-GB"/>
        </w:rPr>
        <w:t>Neighbourhood Character</w:t>
      </w:r>
      <w:r w:rsidRPr="00934FA7">
        <w:rPr>
          <w:rFonts w:cs="Arial"/>
          <w:szCs w:val="24"/>
          <w:lang w:val="en-GB"/>
        </w:rPr>
        <w:t xml:space="preserve"> </w:t>
      </w:r>
      <w:r w:rsidR="00AF3C62" w:rsidRPr="00AF3C62">
        <w:rPr>
          <w:rFonts w:cs="Arial"/>
          <w:b/>
          <w:bCs/>
          <w:szCs w:val="24"/>
          <w:lang w:val="en-GB"/>
        </w:rPr>
        <w:t>Greater Bendigo</w:t>
      </w:r>
      <w:r w:rsidR="00AF3C62">
        <w:rPr>
          <w:rFonts w:cs="Arial"/>
          <w:szCs w:val="24"/>
          <w:lang w:val="en-GB"/>
        </w:rPr>
        <w:t xml:space="preserve"> </w:t>
      </w:r>
      <w:r w:rsidRPr="00934FA7">
        <w:rPr>
          <w:rFonts w:cs="Arial"/>
          <w:szCs w:val="24"/>
          <w:lang w:val="en-GB"/>
        </w:rPr>
        <w:t xml:space="preserve">by promoting building design outcomes that contribute positively to the local context </w:t>
      </w:r>
      <w:r w:rsidR="00AF3C62">
        <w:rPr>
          <w:rFonts w:cs="Arial"/>
          <w:szCs w:val="24"/>
          <w:lang w:val="en-GB"/>
        </w:rPr>
        <w:t xml:space="preserve">of the existing residences </w:t>
      </w:r>
      <w:r w:rsidRPr="00934FA7">
        <w:rPr>
          <w:rFonts w:cs="Arial"/>
          <w:szCs w:val="24"/>
          <w:lang w:val="en-GB"/>
        </w:rPr>
        <w:t>and enhances the public realm.</w:t>
      </w:r>
    </w:p>
    <w:p w14:paraId="7CB688FF" w14:textId="387274A4" w:rsidR="00FA40AD" w:rsidRPr="00FA40AD" w:rsidRDefault="00FA40AD" w:rsidP="00FA40AD">
      <w:pPr>
        <w:pStyle w:val="Bulletlist"/>
        <w:rPr>
          <w:rFonts w:cs="Arial"/>
          <w:szCs w:val="24"/>
          <w:lang w:val="en-GB"/>
        </w:rPr>
      </w:pPr>
      <w:r w:rsidRPr="00934FA7">
        <w:rPr>
          <w:rFonts w:cs="Arial"/>
          <w:szCs w:val="24"/>
          <w:lang w:val="en-GB"/>
        </w:rPr>
        <w:t>Clause 15.01-</w:t>
      </w:r>
      <w:r>
        <w:rPr>
          <w:rFonts w:cs="Arial"/>
          <w:szCs w:val="24"/>
          <w:lang w:val="en-GB"/>
        </w:rPr>
        <w:t xml:space="preserve">5L-02 </w:t>
      </w:r>
      <w:r w:rsidRPr="00934FA7">
        <w:rPr>
          <w:rFonts w:cs="Arial"/>
          <w:szCs w:val="24"/>
          <w:lang w:val="en-GB"/>
        </w:rPr>
        <w:t xml:space="preserve">– </w:t>
      </w:r>
      <w:r w:rsidRPr="00FA40AD">
        <w:rPr>
          <w:rFonts w:cs="Arial"/>
          <w:b/>
          <w:bCs/>
          <w:szCs w:val="24"/>
          <w:lang w:val="en-GB"/>
        </w:rPr>
        <w:t>Central Bendigo</w:t>
      </w:r>
      <w:r>
        <w:rPr>
          <w:rFonts w:cs="Arial"/>
          <w:szCs w:val="24"/>
          <w:lang w:val="en-GB"/>
        </w:rPr>
        <w:t xml:space="preserve"> </w:t>
      </w:r>
      <w:r>
        <w:rPr>
          <w:rFonts w:cs="Arial"/>
          <w:b/>
          <w:szCs w:val="24"/>
          <w:lang w:val="en-GB"/>
        </w:rPr>
        <w:t>Neighbourhood Character</w:t>
      </w:r>
      <w:r w:rsidRPr="00934FA7">
        <w:rPr>
          <w:rFonts w:cs="Arial"/>
          <w:szCs w:val="24"/>
          <w:lang w:val="en-GB"/>
        </w:rPr>
        <w:t xml:space="preserve"> by promoting building design outcomes that contribute positively to the local context and </w:t>
      </w:r>
      <w:r w:rsidR="00AF3C62">
        <w:rPr>
          <w:rFonts w:cs="Arial"/>
          <w:szCs w:val="24"/>
          <w:lang w:val="en-GB"/>
        </w:rPr>
        <w:t>protect</w:t>
      </w:r>
      <w:r w:rsidR="00302681">
        <w:rPr>
          <w:rFonts w:cs="Arial"/>
          <w:szCs w:val="24"/>
          <w:lang w:val="en-GB"/>
        </w:rPr>
        <w:t>ed with controls as a Premium Residential Precinct.</w:t>
      </w:r>
    </w:p>
    <w:p w14:paraId="5320386F"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15.02-2L – </w:t>
      </w:r>
      <w:r w:rsidRPr="00934FA7">
        <w:rPr>
          <w:rFonts w:cs="Arial"/>
          <w:b/>
          <w:szCs w:val="24"/>
          <w:lang w:val="en-GB"/>
        </w:rPr>
        <w:t>Environmentally sustainable development – Greater Bendigo</w:t>
      </w:r>
      <w:r w:rsidRPr="00934FA7">
        <w:rPr>
          <w:rFonts w:cs="Arial"/>
          <w:szCs w:val="24"/>
          <w:lang w:val="en-GB"/>
        </w:rPr>
        <w:t xml:space="preserve"> by encouraging development that is energy and resource efficient by </w:t>
      </w:r>
      <w:r w:rsidRPr="00934FA7">
        <w:rPr>
          <w:rFonts w:cs="Arial"/>
          <w:szCs w:val="24"/>
          <w:lang w:val="en-GB"/>
        </w:rPr>
        <w:lastRenderedPageBreak/>
        <w:t>promoting best practice techniques and material through quality urban design solutions for increased residential density which optimise underutilised sites in the central city location that has increased accessibility of supporting services and infrastructure.</w:t>
      </w:r>
    </w:p>
    <w:p w14:paraId="1621D79D"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15.01-4S – </w:t>
      </w:r>
      <w:r w:rsidRPr="00934FA7">
        <w:rPr>
          <w:rFonts w:cs="Arial"/>
          <w:b/>
          <w:szCs w:val="24"/>
          <w:lang w:val="en-GB"/>
        </w:rPr>
        <w:t>Healthy neighbourhoods</w:t>
      </w:r>
      <w:r w:rsidRPr="00934FA7">
        <w:rPr>
          <w:rFonts w:cs="Arial"/>
          <w:szCs w:val="24"/>
          <w:lang w:val="en-GB"/>
        </w:rPr>
        <w:t xml:space="preserve"> by encouraging community interaction and makes it easy for people of all ages and abilities to live healthy lifestyles and engage in regular physical activity.</w:t>
      </w:r>
    </w:p>
    <w:p w14:paraId="2B595AFB"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15.01-5S – </w:t>
      </w:r>
      <w:r w:rsidRPr="00934FA7">
        <w:rPr>
          <w:rFonts w:cs="Arial"/>
          <w:b/>
          <w:szCs w:val="24"/>
          <w:lang w:val="en-GB"/>
        </w:rPr>
        <w:t>Neighbourhood character</w:t>
      </w:r>
      <w:r w:rsidRPr="00934FA7">
        <w:rPr>
          <w:rFonts w:cs="Arial"/>
          <w:szCs w:val="24"/>
          <w:lang w:val="en-GB"/>
        </w:rPr>
        <w:t xml:space="preserve"> by promoting development that responds to cultural identity and contributes to existing or preferred neighbourhood character.</w:t>
      </w:r>
    </w:p>
    <w:p w14:paraId="1E042AD3"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15.02-1S – </w:t>
      </w:r>
      <w:r w:rsidRPr="00934FA7">
        <w:rPr>
          <w:rFonts w:cs="Arial"/>
          <w:b/>
          <w:szCs w:val="24"/>
          <w:lang w:val="en-GB"/>
        </w:rPr>
        <w:t>Energy and resource efficiency</w:t>
      </w:r>
      <w:r w:rsidRPr="00934FA7">
        <w:rPr>
          <w:rFonts w:cs="Arial"/>
          <w:szCs w:val="24"/>
          <w:lang w:val="en-GB"/>
        </w:rPr>
        <w:t xml:space="preserve"> by encouraging land use and development that is energy and resource efficient by promoting the consolidation of urban development and integration of land use and transport.</w:t>
      </w:r>
    </w:p>
    <w:p w14:paraId="20EB99C0" w14:textId="1560A3CD" w:rsidR="00281912" w:rsidRPr="00934FA7" w:rsidRDefault="00281912" w:rsidP="00934FA7">
      <w:pPr>
        <w:pStyle w:val="Bulletlist"/>
        <w:rPr>
          <w:rFonts w:cs="Arial"/>
          <w:szCs w:val="24"/>
          <w:lang w:val="en-GB"/>
        </w:rPr>
      </w:pPr>
      <w:r w:rsidRPr="00934FA7">
        <w:rPr>
          <w:rFonts w:cs="Arial"/>
          <w:szCs w:val="24"/>
          <w:lang w:val="en-GB"/>
        </w:rPr>
        <w:t xml:space="preserve">Clause 15.03-1S – </w:t>
      </w:r>
      <w:r w:rsidRPr="00934FA7">
        <w:rPr>
          <w:rFonts w:cs="Arial"/>
          <w:b/>
          <w:szCs w:val="24"/>
          <w:lang w:val="en-GB"/>
        </w:rPr>
        <w:t>Heritage conservation</w:t>
      </w:r>
      <w:r w:rsidRPr="00934FA7">
        <w:rPr>
          <w:rFonts w:cs="Arial"/>
          <w:szCs w:val="24"/>
          <w:lang w:val="en-GB"/>
        </w:rPr>
        <w:t xml:space="preserve"> by supporting the conservation of places of heritage significance by encouraging appropriate development that respects places with identified heritage values.</w:t>
      </w:r>
    </w:p>
    <w:p w14:paraId="09761DF7" w14:textId="77777777" w:rsidR="00281912" w:rsidRPr="00934FA7" w:rsidRDefault="00281912" w:rsidP="00934FA7">
      <w:pPr>
        <w:pStyle w:val="Bulletlist"/>
        <w:rPr>
          <w:rFonts w:cs="Arial"/>
          <w:szCs w:val="24"/>
          <w:lang w:val="en-GB"/>
        </w:rPr>
      </w:pPr>
      <w:r w:rsidRPr="00934FA7">
        <w:rPr>
          <w:rFonts w:cs="Arial"/>
          <w:szCs w:val="24"/>
          <w:lang w:val="en-GB"/>
        </w:rPr>
        <w:t xml:space="preserve">Clause 15.03-1L – </w:t>
      </w:r>
      <w:r w:rsidRPr="00934FA7">
        <w:rPr>
          <w:rFonts w:cs="Arial"/>
          <w:b/>
          <w:szCs w:val="24"/>
          <w:lang w:val="en-GB"/>
        </w:rPr>
        <w:t>Post contact heritage conservation</w:t>
      </w:r>
      <w:r w:rsidRPr="00934FA7">
        <w:rPr>
          <w:rFonts w:cs="Arial"/>
          <w:szCs w:val="24"/>
          <w:lang w:val="en-GB"/>
        </w:rPr>
        <w:t xml:space="preserve"> – Greater Bendigo by continuing to update older heritage studies to meet current standards and adding in additional heritage places to both ensure long term protection and clarify the important elements of heritage significance as buildings are repurposed and new development is constructed that respects places with identified heritage values.</w:t>
      </w:r>
    </w:p>
    <w:p w14:paraId="13683D96" w14:textId="77777777" w:rsidR="00281912" w:rsidRPr="00934FA7" w:rsidRDefault="00281912" w:rsidP="00934FA7">
      <w:pPr>
        <w:pStyle w:val="Bulletlist"/>
        <w:rPr>
          <w:rFonts w:cs="Arial"/>
          <w:szCs w:val="24"/>
          <w:lang w:val="en-GB"/>
        </w:rPr>
      </w:pPr>
      <w:r w:rsidRPr="00934FA7">
        <w:rPr>
          <w:rFonts w:cs="Arial"/>
          <w:szCs w:val="24"/>
          <w:lang w:val="en-GB"/>
        </w:rPr>
        <w:t xml:space="preserve">Clause 16.01-1S – </w:t>
      </w:r>
      <w:r w:rsidRPr="004C46BC">
        <w:rPr>
          <w:rFonts w:cs="Arial"/>
          <w:b/>
          <w:szCs w:val="24"/>
          <w:lang w:val="en-GB"/>
        </w:rPr>
        <w:t>Housing supply</w:t>
      </w:r>
      <w:r w:rsidRPr="00934FA7">
        <w:rPr>
          <w:rFonts w:cs="Arial"/>
          <w:szCs w:val="24"/>
          <w:lang w:val="en-GB"/>
        </w:rPr>
        <w:t xml:space="preserve"> by supporting the supply of housing in existing urban areas by facilitating increased housing yield in appropriate locations, including under-utilised urban land to meet community needs.</w:t>
      </w:r>
    </w:p>
    <w:p w14:paraId="210F6774" w14:textId="77777777" w:rsidR="00281912" w:rsidRPr="00934FA7" w:rsidRDefault="00281912" w:rsidP="00934FA7">
      <w:pPr>
        <w:pStyle w:val="Bulletlist"/>
        <w:rPr>
          <w:rFonts w:cs="Arial"/>
          <w:szCs w:val="24"/>
          <w:lang w:val="en-GB"/>
        </w:rPr>
      </w:pPr>
      <w:r w:rsidRPr="00934FA7">
        <w:rPr>
          <w:rFonts w:cs="Arial"/>
          <w:szCs w:val="24"/>
          <w:lang w:val="en-GB"/>
        </w:rPr>
        <w:t xml:space="preserve">Clause 16.01-2S – </w:t>
      </w:r>
      <w:r w:rsidRPr="004C46BC">
        <w:rPr>
          <w:rFonts w:cs="Arial"/>
          <w:b/>
          <w:szCs w:val="24"/>
          <w:lang w:val="en-GB"/>
        </w:rPr>
        <w:t>Housing affordability</w:t>
      </w:r>
      <w:r w:rsidRPr="00934FA7">
        <w:rPr>
          <w:rFonts w:cs="Arial"/>
          <w:szCs w:val="24"/>
          <w:lang w:val="en-GB"/>
        </w:rPr>
        <w:t xml:space="preserve"> by facilitating opportunities for diverse housing that offers choice and meets changing household needs, including promoting the development of well-designed medium housing and affordable housing.</w:t>
      </w:r>
    </w:p>
    <w:p w14:paraId="67009D50" w14:textId="6ABA787B" w:rsidR="00281912" w:rsidRPr="00934FA7" w:rsidRDefault="00281912" w:rsidP="00934FA7">
      <w:pPr>
        <w:pStyle w:val="Bulletlist"/>
        <w:rPr>
          <w:rFonts w:cs="Arial"/>
          <w:szCs w:val="24"/>
          <w:lang w:val="en-GB"/>
        </w:rPr>
      </w:pPr>
      <w:r w:rsidRPr="00934FA7">
        <w:rPr>
          <w:rFonts w:cs="Arial"/>
          <w:szCs w:val="24"/>
          <w:lang w:val="en-GB"/>
        </w:rPr>
        <w:t xml:space="preserve">Clauses 17.01-1S – </w:t>
      </w:r>
      <w:r w:rsidRPr="004C46BC">
        <w:rPr>
          <w:rFonts w:cs="Arial"/>
          <w:b/>
          <w:szCs w:val="24"/>
          <w:lang w:val="en-GB"/>
        </w:rPr>
        <w:t>Diversified economy</w:t>
      </w:r>
      <w:r w:rsidRPr="00934FA7">
        <w:rPr>
          <w:rFonts w:cs="Arial"/>
          <w:szCs w:val="24"/>
          <w:lang w:val="en-GB"/>
        </w:rPr>
        <w:t xml:space="preserve"> and Clause 17.01-1R – </w:t>
      </w:r>
      <w:r w:rsidRPr="004C46BC">
        <w:rPr>
          <w:rFonts w:cs="Arial"/>
          <w:b/>
          <w:szCs w:val="24"/>
          <w:lang w:val="en-GB"/>
        </w:rPr>
        <w:t>Diversified economy – Loddon Mallee South</w:t>
      </w:r>
      <w:r w:rsidRPr="00934FA7">
        <w:rPr>
          <w:rFonts w:cs="Arial"/>
          <w:szCs w:val="24"/>
          <w:lang w:val="en-GB"/>
        </w:rPr>
        <w:t xml:space="preserve"> by protecting and strengthening an existing employment area and promoting growth in a range of employment sectors, including health, education, retail, tourism, knowledge industries and professional and technical services based on the emerging and existing strengths of the</w:t>
      </w:r>
      <w:r w:rsidR="002A078D" w:rsidRPr="00934FA7">
        <w:rPr>
          <w:rFonts w:cs="Arial"/>
          <w:szCs w:val="24"/>
          <w:lang w:val="en-GB"/>
        </w:rPr>
        <w:t xml:space="preserve"> </w:t>
      </w:r>
      <w:r w:rsidRPr="00934FA7">
        <w:rPr>
          <w:rFonts w:cs="Arial"/>
          <w:szCs w:val="24"/>
          <w:lang w:val="en-GB"/>
        </w:rPr>
        <w:t>region.</w:t>
      </w:r>
    </w:p>
    <w:p w14:paraId="1D9FED8A" w14:textId="77777777" w:rsidR="00281912" w:rsidRPr="00934FA7" w:rsidRDefault="00281912" w:rsidP="00934FA7">
      <w:pPr>
        <w:pStyle w:val="Bulletlist"/>
        <w:rPr>
          <w:rFonts w:cs="Arial"/>
          <w:szCs w:val="24"/>
          <w:lang w:val="en-GB"/>
        </w:rPr>
      </w:pPr>
      <w:r w:rsidRPr="00934FA7">
        <w:rPr>
          <w:rFonts w:cs="Arial"/>
          <w:szCs w:val="24"/>
          <w:lang w:val="en-GB"/>
        </w:rPr>
        <w:t xml:space="preserve">Clause 18.01-3S – </w:t>
      </w:r>
      <w:r w:rsidRPr="004C46BC">
        <w:rPr>
          <w:rFonts w:cs="Arial"/>
          <w:b/>
          <w:szCs w:val="24"/>
          <w:lang w:val="en-GB"/>
        </w:rPr>
        <w:t>Sustainable and safe transport</w:t>
      </w:r>
      <w:r w:rsidRPr="00934FA7">
        <w:rPr>
          <w:rFonts w:cs="Arial"/>
          <w:szCs w:val="24"/>
          <w:lang w:val="en-GB"/>
        </w:rPr>
        <w:t xml:space="preserve"> by amending PO1 to remove minimum car parking requirements and promote the use of sustainable personal transport by creating a high-quality, safe, connected and continuous environment that prioritises pedestrian and cycle movement and minimises delays.</w:t>
      </w:r>
    </w:p>
    <w:p w14:paraId="1B689B0E" w14:textId="77777777" w:rsidR="00281912" w:rsidRPr="00934FA7" w:rsidRDefault="00281912" w:rsidP="00934FA7">
      <w:pPr>
        <w:pStyle w:val="Bulletlist"/>
        <w:rPr>
          <w:rFonts w:cs="Arial"/>
          <w:szCs w:val="24"/>
          <w:lang w:val="en-GB"/>
        </w:rPr>
      </w:pPr>
      <w:r w:rsidRPr="00934FA7">
        <w:rPr>
          <w:rFonts w:cs="Arial"/>
          <w:szCs w:val="24"/>
          <w:lang w:val="en-GB"/>
        </w:rPr>
        <w:t xml:space="preserve">Clause 19.02-1S – </w:t>
      </w:r>
      <w:r w:rsidRPr="004C46BC">
        <w:rPr>
          <w:rFonts w:cs="Arial"/>
          <w:b/>
          <w:szCs w:val="24"/>
          <w:lang w:val="en-GB"/>
        </w:rPr>
        <w:t>Health facilities</w:t>
      </w:r>
      <w:r w:rsidRPr="00934FA7">
        <w:rPr>
          <w:rFonts w:cs="Arial"/>
          <w:szCs w:val="24"/>
          <w:lang w:val="en-GB"/>
        </w:rPr>
        <w:t xml:space="preserve">, Clause 19.02-2S – </w:t>
      </w:r>
      <w:r w:rsidRPr="004C46BC">
        <w:rPr>
          <w:rFonts w:cs="Arial"/>
          <w:b/>
          <w:szCs w:val="24"/>
          <w:lang w:val="en-GB"/>
        </w:rPr>
        <w:t>Education facilities</w:t>
      </w:r>
      <w:r w:rsidRPr="00934FA7">
        <w:rPr>
          <w:rFonts w:cs="Arial"/>
          <w:szCs w:val="24"/>
          <w:lang w:val="en-GB"/>
        </w:rPr>
        <w:t xml:space="preserve">, Clause 19.02-3S – </w:t>
      </w:r>
      <w:r w:rsidRPr="004C46BC">
        <w:rPr>
          <w:rFonts w:cs="Arial"/>
          <w:b/>
          <w:szCs w:val="24"/>
          <w:lang w:val="en-GB"/>
        </w:rPr>
        <w:t>Cultural facilities</w:t>
      </w:r>
      <w:r w:rsidRPr="00934FA7">
        <w:rPr>
          <w:rFonts w:cs="Arial"/>
          <w:szCs w:val="24"/>
          <w:lang w:val="en-GB"/>
        </w:rPr>
        <w:t xml:space="preserve">, Clause 19.02-4S – </w:t>
      </w:r>
      <w:r w:rsidRPr="004C46BC">
        <w:rPr>
          <w:rFonts w:cs="Arial"/>
          <w:b/>
          <w:szCs w:val="24"/>
          <w:lang w:val="en-GB"/>
        </w:rPr>
        <w:t>Social and cultural infrastructure</w:t>
      </w:r>
      <w:r w:rsidRPr="00934FA7">
        <w:rPr>
          <w:rFonts w:cs="Arial"/>
          <w:szCs w:val="24"/>
          <w:lang w:val="en-GB"/>
        </w:rPr>
        <w:t xml:space="preserve"> and Clause 19.02-6S – </w:t>
      </w:r>
      <w:r w:rsidRPr="004C46BC">
        <w:rPr>
          <w:rFonts w:cs="Arial"/>
          <w:b/>
          <w:szCs w:val="24"/>
          <w:lang w:val="en-GB"/>
        </w:rPr>
        <w:t>Open space</w:t>
      </w:r>
      <w:r w:rsidRPr="00934FA7">
        <w:rPr>
          <w:rFonts w:cs="Arial"/>
          <w:szCs w:val="24"/>
          <w:lang w:val="en-GB"/>
        </w:rPr>
        <w:t xml:space="preserve"> by facilitating the provision of integrated health, education, and social and cultural infrastructure.</w:t>
      </w:r>
    </w:p>
    <w:p w14:paraId="3A53106A" w14:textId="08FA0F15" w:rsidR="00BC4454" w:rsidRPr="00BC4454" w:rsidRDefault="009020A9" w:rsidP="00BC4454">
      <w:pPr>
        <w:pStyle w:val="Heading3"/>
      </w:pPr>
      <w:r>
        <w:lastRenderedPageBreak/>
        <w:t>Is the amendment consistent with the delivery of the relevant housing target set out in the Planning Policy Framework?</w:t>
      </w:r>
    </w:p>
    <w:p w14:paraId="57AA5CBE" w14:textId="47B14D1D" w:rsidR="00F64A04" w:rsidRPr="00F64A04" w:rsidRDefault="00F64A04" w:rsidP="00F64A04">
      <w:r w:rsidRPr="00F64A04">
        <w:t>The amendment supports the provision of sufficient housing capacity. The City of Greater Bendigo’s housing target, as listed in Clause 16.01-1S, is 37,000 houses. As part of that housing target, 11,000 houses are to be located in greenfield areas and 26,000 houses are to be located in established areas.</w:t>
      </w:r>
    </w:p>
    <w:p w14:paraId="3DB4C322" w14:textId="220B5C96" w:rsidR="00F64A04" w:rsidRPr="00F64A04" w:rsidRDefault="00F64A04" w:rsidP="00F64A04">
      <w:r w:rsidRPr="00F64A04">
        <w:t>The City’s Managed Growth Strategy sets a similar projection of 38,000 more houses for the municipality, and directs that 70% of the houses be accommodated in established areas over the next 30 years. The Managed Growth Strategy recognises that the City Centre has the greatest potential for infill development for the municipality. As detailed in the City Centre Plan, the City Centre is evolving into a diverse and mixed-use environment. More houses and people living in the City Centre is critical for injecting life and activity into the area throughout the day and evening.</w:t>
      </w:r>
    </w:p>
    <w:p w14:paraId="1763126A" w14:textId="77777777" w:rsidR="0006383C" w:rsidRDefault="0006383C" w:rsidP="0006383C">
      <w:pPr>
        <w:pStyle w:val="Heading3"/>
      </w:pPr>
      <w:r>
        <w:t>How does the amendment support or implement the Municipal Planning Strategy?</w:t>
      </w:r>
    </w:p>
    <w:p w14:paraId="45E7970C" w14:textId="5DE9BC17" w:rsidR="00250CBA" w:rsidRPr="0080430B" w:rsidRDefault="00250CBA" w:rsidP="0080430B">
      <w:r w:rsidRPr="0080430B">
        <w:t xml:space="preserve">The amendment supports and implements the general principles and specific policies contained in the Planning Policy Framework including the Municipal </w:t>
      </w:r>
      <w:r w:rsidR="00282472" w:rsidRPr="0080430B">
        <w:t xml:space="preserve">Planning Strategy </w:t>
      </w:r>
      <w:r w:rsidRPr="0080430B">
        <w:t xml:space="preserve">and local planning policies. </w:t>
      </w:r>
    </w:p>
    <w:p w14:paraId="609A846B" w14:textId="582979FC" w:rsidR="00250CBA" w:rsidRPr="0080430B" w:rsidRDefault="00250CBA" w:rsidP="0080430B">
      <w:r w:rsidRPr="0080430B">
        <w:t>Specifically, the amendment supports and implements the following principles and policies contained within the PPF:</w:t>
      </w:r>
    </w:p>
    <w:p w14:paraId="22D6EDA4" w14:textId="60F2D66A" w:rsidR="00250CBA" w:rsidRPr="0080430B" w:rsidRDefault="00250CBA" w:rsidP="0080430B">
      <w:pPr>
        <w:pStyle w:val="Bulletlist"/>
        <w:rPr>
          <w:rFonts w:cs="Arial"/>
          <w:szCs w:val="24"/>
          <w:lang w:val="en-GB"/>
        </w:rPr>
      </w:pPr>
      <w:r w:rsidRPr="0080430B">
        <w:rPr>
          <w:rFonts w:cs="Arial"/>
          <w:szCs w:val="24"/>
          <w:lang w:val="en-GB"/>
        </w:rPr>
        <w:t xml:space="preserve">Responds to future residential development objectives and pressures that target extensive infill opportunities to accommodate growth (Clause 2.01 – </w:t>
      </w:r>
      <w:r w:rsidR="00282472" w:rsidRPr="0080430B">
        <w:rPr>
          <w:rFonts w:cs="Arial"/>
          <w:szCs w:val="24"/>
          <w:lang w:val="en-GB"/>
        </w:rPr>
        <w:t>Context</w:t>
      </w:r>
      <w:r w:rsidRPr="0080430B">
        <w:rPr>
          <w:rFonts w:cs="Arial"/>
          <w:szCs w:val="24"/>
          <w:lang w:val="en-GB"/>
        </w:rPr>
        <w:t xml:space="preserve">). </w:t>
      </w:r>
    </w:p>
    <w:p w14:paraId="2A676E38" w14:textId="52458675" w:rsidR="00250CBA" w:rsidRPr="0080430B" w:rsidRDefault="00250CBA" w:rsidP="0080430B">
      <w:pPr>
        <w:pStyle w:val="Bulletlist"/>
        <w:rPr>
          <w:rFonts w:cs="Arial"/>
          <w:szCs w:val="24"/>
          <w:lang w:val="en-GB"/>
        </w:rPr>
      </w:pPr>
      <w:r w:rsidRPr="0080430B">
        <w:rPr>
          <w:rFonts w:cs="Arial"/>
          <w:szCs w:val="24"/>
          <w:lang w:val="en-GB"/>
        </w:rPr>
        <w:t xml:space="preserve">Responds to an identified lack of housing diversity in the municipality by supporting housing options that caters to the needs of the community and encourages more people to live in inner city areas. The amendment also supports transport integration, commercial expansion and open space objectives and promotes the management of heritage sites and places (Clause </w:t>
      </w:r>
      <w:r w:rsidR="00282472" w:rsidRPr="0080430B">
        <w:rPr>
          <w:rFonts w:cs="Arial"/>
          <w:szCs w:val="24"/>
          <w:lang w:val="en-GB"/>
        </w:rPr>
        <w:t>2</w:t>
      </w:r>
      <w:r w:rsidRPr="0080430B">
        <w:rPr>
          <w:rFonts w:cs="Arial"/>
          <w:szCs w:val="24"/>
          <w:lang w:val="en-GB"/>
        </w:rPr>
        <w:t>.</w:t>
      </w:r>
      <w:r w:rsidR="001E463E" w:rsidRPr="0080430B">
        <w:rPr>
          <w:rFonts w:cs="Arial"/>
          <w:szCs w:val="24"/>
          <w:lang w:val="en-GB"/>
        </w:rPr>
        <w:t>3-1</w:t>
      </w:r>
      <w:r w:rsidRPr="0080430B">
        <w:rPr>
          <w:rFonts w:cs="Arial"/>
          <w:szCs w:val="24"/>
          <w:lang w:val="en-GB"/>
        </w:rPr>
        <w:t xml:space="preserve"> – </w:t>
      </w:r>
      <w:r w:rsidR="001E463E" w:rsidRPr="0080430B">
        <w:rPr>
          <w:rFonts w:cs="Arial"/>
          <w:szCs w:val="24"/>
          <w:lang w:val="en-GB"/>
        </w:rPr>
        <w:t>Settlement</w:t>
      </w:r>
      <w:r w:rsidRPr="0080430B">
        <w:rPr>
          <w:rFonts w:cs="Arial"/>
          <w:szCs w:val="24"/>
          <w:lang w:val="en-GB"/>
        </w:rPr>
        <w:t xml:space="preserve">). </w:t>
      </w:r>
    </w:p>
    <w:p w14:paraId="5CFC1250" w14:textId="01C7FB4D" w:rsidR="00250CBA" w:rsidRPr="0080430B" w:rsidRDefault="00250CBA" w:rsidP="0080430B">
      <w:pPr>
        <w:pStyle w:val="Bulletlist"/>
        <w:rPr>
          <w:rFonts w:cs="Arial"/>
          <w:szCs w:val="24"/>
          <w:lang w:val="en-GB"/>
        </w:rPr>
      </w:pPr>
      <w:r w:rsidRPr="0080430B">
        <w:rPr>
          <w:rFonts w:cs="Arial"/>
          <w:szCs w:val="24"/>
          <w:lang w:val="en-GB"/>
        </w:rPr>
        <w:t xml:space="preserve">Responds to </w:t>
      </w:r>
      <w:r w:rsidR="001E463E" w:rsidRPr="0080430B">
        <w:rPr>
          <w:rFonts w:cs="Arial"/>
          <w:szCs w:val="24"/>
          <w:lang w:val="en-GB"/>
        </w:rPr>
        <w:t>the continued protection of the important built heritage with the Bendigo City Centre through updating of studies</w:t>
      </w:r>
      <w:r w:rsidRPr="0080430B">
        <w:rPr>
          <w:rFonts w:cs="Arial"/>
          <w:szCs w:val="24"/>
          <w:lang w:val="en-GB"/>
        </w:rPr>
        <w:t xml:space="preserve"> (Clause </w:t>
      </w:r>
      <w:r w:rsidR="001E463E" w:rsidRPr="0080430B">
        <w:rPr>
          <w:rFonts w:cs="Arial"/>
          <w:szCs w:val="24"/>
          <w:lang w:val="en-GB"/>
        </w:rPr>
        <w:t>2.03-5</w:t>
      </w:r>
      <w:r w:rsidRPr="0080430B">
        <w:rPr>
          <w:rFonts w:cs="Arial"/>
          <w:szCs w:val="24"/>
          <w:lang w:val="en-GB"/>
        </w:rPr>
        <w:t xml:space="preserve"> – </w:t>
      </w:r>
      <w:r w:rsidR="001E463E" w:rsidRPr="0080430B">
        <w:rPr>
          <w:rFonts w:cs="Arial"/>
          <w:szCs w:val="24"/>
          <w:lang w:val="en-GB"/>
        </w:rPr>
        <w:t>Built Environment and Heritage</w:t>
      </w:r>
      <w:r w:rsidRPr="0080430B">
        <w:rPr>
          <w:rFonts w:cs="Arial"/>
          <w:szCs w:val="24"/>
          <w:lang w:val="en-GB"/>
        </w:rPr>
        <w:t xml:space="preserve">). </w:t>
      </w:r>
    </w:p>
    <w:p w14:paraId="4D577B33" w14:textId="6ADCDBA5" w:rsidR="00250CBA" w:rsidRPr="006533E1" w:rsidRDefault="00250CBA" w:rsidP="0080430B">
      <w:pPr>
        <w:pStyle w:val="Bulletlist"/>
        <w:rPr>
          <w:rFonts w:cs="Arial"/>
          <w:szCs w:val="24"/>
        </w:rPr>
      </w:pPr>
      <w:r w:rsidRPr="0080430B">
        <w:rPr>
          <w:rFonts w:cs="Arial"/>
          <w:szCs w:val="24"/>
          <w:lang w:val="en-GB"/>
        </w:rPr>
        <w:t>Supports and promotes a compact Bendigo urban area by directing development into a planned</w:t>
      </w:r>
      <w:r w:rsidRPr="006533E1">
        <w:rPr>
          <w:rFonts w:cs="Arial"/>
          <w:szCs w:val="24"/>
        </w:rPr>
        <w:t xml:space="preserve"> growth area (Clause 2.0</w:t>
      </w:r>
      <w:r w:rsidR="00E8028C" w:rsidRPr="006533E1">
        <w:rPr>
          <w:rFonts w:cs="Arial"/>
          <w:szCs w:val="24"/>
        </w:rPr>
        <w:t>3</w:t>
      </w:r>
      <w:r w:rsidR="001E463E" w:rsidRPr="006533E1">
        <w:rPr>
          <w:rFonts w:cs="Arial"/>
          <w:szCs w:val="24"/>
        </w:rPr>
        <w:t>-6</w:t>
      </w:r>
      <w:r w:rsidRPr="006533E1">
        <w:rPr>
          <w:rFonts w:cs="Arial"/>
          <w:szCs w:val="24"/>
        </w:rPr>
        <w:t xml:space="preserve"> – </w:t>
      </w:r>
      <w:r w:rsidR="001E463E" w:rsidRPr="006533E1">
        <w:rPr>
          <w:rFonts w:cs="Arial"/>
          <w:szCs w:val="24"/>
        </w:rPr>
        <w:t>Housing</w:t>
      </w:r>
      <w:r w:rsidRPr="006533E1">
        <w:rPr>
          <w:rFonts w:cs="Arial"/>
          <w:szCs w:val="24"/>
        </w:rPr>
        <w:t>). Additionally, the amendment:</w:t>
      </w:r>
    </w:p>
    <w:p w14:paraId="301E4233" w14:textId="77777777" w:rsidR="00250CBA" w:rsidRPr="0080430B" w:rsidRDefault="00250CBA" w:rsidP="0080430B">
      <w:pPr>
        <w:pStyle w:val="Bullet2"/>
        <w:rPr>
          <w:color w:val="000000" w:themeColor="text1"/>
        </w:rPr>
      </w:pPr>
      <w:r w:rsidRPr="0080430B">
        <w:rPr>
          <w:color w:val="000000" w:themeColor="text1"/>
        </w:rPr>
        <w:t xml:space="preserve">Reduces pressure on the outward expansion of the urban area. </w:t>
      </w:r>
    </w:p>
    <w:p w14:paraId="13DE5CDF" w14:textId="77777777" w:rsidR="00250CBA" w:rsidRPr="0080430B" w:rsidRDefault="00250CBA" w:rsidP="0080430B">
      <w:pPr>
        <w:pStyle w:val="Bullet2"/>
        <w:rPr>
          <w:color w:val="000000" w:themeColor="text1"/>
        </w:rPr>
      </w:pPr>
      <w:r w:rsidRPr="0080430B">
        <w:rPr>
          <w:color w:val="000000" w:themeColor="text1"/>
        </w:rPr>
        <w:t xml:space="preserve">Supports the establishment of 10 minute neighbourhoods by promoting a mix of land uses, greater choice in housing, and high-quality public domain and transport options. </w:t>
      </w:r>
    </w:p>
    <w:p w14:paraId="549D8F48" w14:textId="77777777" w:rsidR="00250CBA" w:rsidRPr="0080430B" w:rsidRDefault="00250CBA" w:rsidP="0080430B">
      <w:pPr>
        <w:pStyle w:val="Bullet2"/>
        <w:rPr>
          <w:color w:val="000000" w:themeColor="text1"/>
        </w:rPr>
      </w:pPr>
      <w:r w:rsidRPr="0080430B">
        <w:rPr>
          <w:color w:val="000000" w:themeColor="text1"/>
        </w:rPr>
        <w:lastRenderedPageBreak/>
        <w:t xml:space="preserve">Contributes towards the goal of increasing inner city living to 3,000 people by 2031. </w:t>
      </w:r>
    </w:p>
    <w:p w14:paraId="3B8EA6CE" w14:textId="77777777" w:rsidR="00250CBA" w:rsidRPr="0080430B" w:rsidRDefault="00250CBA" w:rsidP="0080430B">
      <w:pPr>
        <w:pStyle w:val="Bullet2"/>
        <w:rPr>
          <w:color w:val="000000" w:themeColor="text1"/>
        </w:rPr>
      </w:pPr>
      <w:r w:rsidRPr="0080430B">
        <w:rPr>
          <w:color w:val="000000" w:themeColor="text1"/>
        </w:rPr>
        <w:t>Encourages greater housing choice and densities that response to community needs.</w:t>
      </w:r>
    </w:p>
    <w:p w14:paraId="6AA20B05" w14:textId="59880964" w:rsidR="00250CBA" w:rsidRPr="0080430B" w:rsidRDefault="00250CBA" w:rsidP="0080430B">
      <w:pPr>
        <w:pStyle w:val="Bulletlist"/>
        <w:rPr>
          <w:rFonts w:cs="Arial"/>
          <w:szCs w:val="24"/>
          <w:lang w:val="en-GB"/>
        </w:rPr>
      </w:pPr>
      <w:r w:rsidRPr="0080430B">
        <w:rPr>
          <w:rFonts w:cs="Arial"/>
          <w:szCs w:val="24"/>
          <w:lang w:val="en-GB"/>
        </w:rPr>
        <w:t xml:space="preserve">Supports the role and function of the City Centre identified in the </w:t>
      </w:r>
      <w:r w:rsidR="00892F7E">
        <w:rPr>
          <w:rFonts w:cs="Arial"/>
          <w:szCs w:val="24"/>
          <w:lang w:val="en-GB"/>
        </w:rPr>
        <w:t xml:space="preserve">Urban </w:t>
      </w:r>
      <w:r w:rsidRPr="0080430B">
        <w:rPr>
          <w:rFonts w:cs="Arial"/>
          <w:szCs w:val="24"/>
          <w:lang w:val="en-GB"/>
        </w:rPr>
        <w:t xml:space="preserve">Activity Centre </w:t>
      </w:r>
      <w:r w:rsidR="00210186">
        <w:rPr>
          <w:rFonts w:cs="Arial"/>
          <w:szCs w:val="24"/>
          <w:lang w:val="en-GB"/>
        </w:rPr>
        <w:t xml:space="preserve">Hierarchy </w:t>
      </w:r>
      <w:r w:rsidRPr="0080430B">
        <w:rPr>
          <w:rFonts w:cs="Arial"/>
          <w:szCs w:val="24"/>
          <w:lang w:val="en-GB"/>
        </w:rPr>
        <w:t xml:space="preserve">Framework Plan </w:t>
      </w:r>
      <w:r w:rsidR="00FB443F">
        <w:rPr>
          <w:rFonts w:cs="Arial"/>
          <w:szCs w:val="24"/>
          <w:lang w:val="en-GB"/>
        </w:rPr>
        <w:t xml:space="preserve">(Clause 02.04) </w:t>
      </w:r>
      <w:r w:rsidRPr="0080430B">
        <w:rPr>
          <w:rFonts w:cs="Arial"/>
          <w:szCs w:val="24"/>
          <w:lang w:val="en-GB"/>
        </w:rPr>
        <w:t xml:space="preserve">by encouraging the expansion of the municipality’s primary employment area (Clause </w:t>
      </w:r>
      <w:r w:rsidR="001E463E" w:rsidRPr="0080430B">
        <w:rPr>
          <w:rFonts w:cs="Arial"/>
          <w:szCs w:val="24"/>
          <w:lang w:val="en-GB"/>
        </w:rPr>
        <w:t>2.03-7 Economic Development</w:t>
      </w:r>
      <w:r w:rsidRPr="0080430B">
        <w:rPr>
          <w:rFonts w:cs="Arial"/>
          <w:szCs w:val="24"/>
          <w:lang w:val="en-GB"/>
        </w:rPr>
        <w:t>). Additionally, the amendment:</w:t>
      </w:r>
    </w:p>
    <w:p w14:paraId="658DA504" w14:textId="77777777" w:rsidR="00250CBA" w:rsidRPr="0080430B" w:rsidRDefault="00250CBA" w:rsidP="0080430B">
      <w:pPr>
        <w:pStyle w:val="Bullet2"/>
        <w:rPr>
          <w:color w:val="000000" w:themeColor="text1"/>
        </w:rPr>
      </w:pPr>
      <w:r w:rsidRPr="0080430B">
        <w:rPr>
          <w:color w:val="000000" w:themeColor="text1"/>
        </w:rPr>
        <w:t>Strengthens the principal and diverse roles of the City Centre within the activity centre hierarchy by providing regional level commercial, retail, visitor, social, civic, cultural, tourist and entertainment activities.</w:t>
      </w:r>
    </w:p>
    <w:p w14:paraId="0600815E" w14:textId="77777777" w:rsidR="00250CBA" w:rsidRPr="0080430B" w:rsidRDefault="00250CBA" w:rsidP="0080430B">
      <w:pPr>
        <w:pStyle w:val="Bullet2"/>
        <w:rPr>
          <w:color w:val="000000" w:themeColor="text1"/>
        </w:rPr>
      </w:pPr>
      <w:r w:rsidRPr="0080430B">
        <w:rPr>
          <w:color w:val="000000" w:themeColor="text1"/>
        </w:rPr>
        <w:t>Facilitates new types of development in the City Centre.</w:t>
      </w:r>
    </w:p>
    <w:p w14:paraId="5C6FB0BD" w14:textId="0710760E" w:rsidR="00250CBA" w:rsidRPr="0080430B" w:rsidRDefault="00250CBA" w:rsidP="0080430B">
      <w:pPr>
        <w:pStyle w:val="Bulletlist"/>
        <w:rPr>
          <w:rFonts w:cs="Arial"/>
          <w:szCs w:val="24"/>
          <w:lang w:val="en-GB"/>
        </w:rPr>
      </w:pPr>
      <w:r w:rsidRPr="0080430B">
        <w:rPr>
          <w:rFonts w:cs="Arial"/>
          <w:szCs w:val="24"/>
          <w:lang w:val="en-GB"/>
        </w:rPr>
        <w:t>Integrates land use development and transport systems by directing growth to the City Centre to maximise the use of existing infrastructure and prioritising active transport use (Clause 2.0</w:t>
      </w:r>
      <w:r w:rsidR="001E463E" w:rsidRPr="0080430B">
        <w:rPr>
          <w:rFonts w:cs="Arial"/>
          <w:szCs w:val="24"/>
          <w:lang w:val="en-GB"/>
        </w:rPr>
        <w:t>3-8 and 9</w:t>
      </w:r>
      <w:r w:rsidRPr="0080430B">
        <w:rPr>
          <w:rFonts w:cs="Arial"/>
          <w:szCs w:val="24"/>
          <w:lang w:val="en-GB"/>
        </w:rPr>
        <w:t xml:space="preserve"> –Transport</w:t>
      </w:r>
      <w:r w:rsidR="001E463E" w:rsidRPr="0080430B">
        <w:rPr>
          <w:rFonts w:cs="Arial"/>
          <w:szCs w:val="24"/>
          <w:lang w:val="en-GB"/>
        </w:rPr>
        <w:t>/Infrastructure</w:t>
      </w:r>
      <w:r w:rsidRPr="0080430B">
        <w:rPr>
          <w:rFonts w:cs="Arial"/>
          <w:szCs w:val="24"/>
          <w:lang w:val="en-GB"/>
        </w:rPr>
        <w:t xml:space="preserve">). </w:t>
      </w:r>
    </w:p>
    <w:p w14:paraId="71A6C819" w14:textId="52D2654A" w:rsidR="00250CBA" w:rsidRPr="00AE23B6" w:rsidRDefault="00193BFC" w:rsidP="00AE23B6">
      <w:r>
        <w:t>As previously stated in</w:t>
      </w:r>
      <w:r w:rsidR="00250CBA" w:rsidRPr="00AE23B6">
        <w:t xml:space="preserve"> this report, the amendment necessitates some minor changes to the LPPF to update outdated references to the Bendigo CBD Plan 2005 and associated policy updates.</w:t>
      </w:r>
    </w:p>
    <w:p w14:paraId="1B4D0F7B" w14:textId="77777777" w:rsidR="00BE347E" w:rsidRDefault="00BE347E" w:rsidP="00BE347E">
      <w:pPr>
        <w:pStyle w:val="Heading3"/>
      </w:pPr>
      <w:r>
        <w:t>Does the amendment make proper use of the Victoria Planning Provisions?</w:t>
      </w:r>
    </w:p>
    <w:p w14:paraId="0A92DB28" w14:textId="2D32AC28" w:rsidR="005D0AD8" w:rsidRPr="00AE23B6" w:rsidRDefault="00250CBA" w:rsidP="00AE23B6">
      <w:r w:rsidRPr="00AE23B6">
        <w:t xml:space="preserve">The </w:t>
      </w:r>
      <w:r w:rsidR="009A5E8A">
        <w:t xml:space="preserve">proposed </w:t>
      </w:r>
      <w:r w:rsidRPr="00AE23B6">
        <w:t>amendment makes proper use of the Victoria Planning Provisions by</w:t>
      </w:r>
      <w:r w:rsidR="008D4F63">
        <w:t xml:space="preserve"> rezoning land to </w:t>
      </w:r>
      <w:r w:rsidRPr="00AE23B6">
        <w:t>the ACZ</w:t>
      </w:r>
      <w:r w:rsidR="008D4F63">
        <w:t>1 and applying the HO, PO3</w:t>
      </w:r>
      <w:r w:rsidR="003619B4">
        <w:t xml:space="preserve"> and EAO</w:t>
      </w:r>
      <w:r w:rsidR="00512E71">
        <w:t xml:space="preserve"> to i</w:t>
      </w:r>
      <w:r w:rsidR="005D0AD8" w:rsidRPr="00AE23B6">
        <w:t xml:space="preserve">mplement the vision, objectives and design guidelines contained with the Bendigo City Centre Plan and </w:t>
      </w:r>
      <w:r w:rsidR="00512E71">
        <w:t>UDF.</w:t>
      </w:r>
    </w:p>
    <w:p w14:paraId="26E3DC14" w14:textId="63C63FA8" w:rsidR="00250CBA" w:rsidRPr="00AE23B6" w:rsidRDefault="000A40BD" w:rsidP="00AE23B6">
      <w:r>
        <w:t xml:space="preserve">The proposed amendment is generally consistent with </w:t>
      </w:r>
      <w:r w:rsidR="00250CBA" w:rsidRPr="00AE23B6">
        <w:t xml:space="preserve">Planning Practice Note 56 (PPN56) (‘Activity Centre Zone’) </w:t>
      </w:r>
      <w:r w:rsidR="0048099A">
        <w:t xml:space="preserve">which </w:t>
      </w:r>
      <w:r w:rsidR="00250CBA" w:rsidRPr="00AE23B6">
        <w:t xml:space="preserve">confirms that the ACZ is the preferred tool to guide and facilitate the use and development of land in activity centres by encouraging a mix of uses and higher density housing. </w:t>
      </w:r>
    </w:p>
    <w:p w14:paraId="54A22EE2" w14:textId="5E3B9645" w:rsidR="00CF700B" w:rsidRDefault="00393A7F" w:rsidP="00AE23B6">
      <w:r>
        <w:t>PP</w:t>
      </w:r>
      <w:r w:rsidR="00CF700B">
        <w:t xml:space="preserve">N56 says that an ACZ must have an adopted structure plan </w:t>
      </w:r>
      <w:r>
        <w:t xml:space="preserve">or a body of significant strategic work. </w:t>
      </w:r>
      <w:r w:rsidR="00CF2558">
        <w:t>While the Bendigo City Centre Plan is not a structure plan</w:t>
      </w:r>
      <w:r w:rsidR="00292B87">
        <w:t xml:space="preserve"> </w:t>
      </w:r>
      <w:r w:rsidR="00107BFD">
        <w:t>per se</w:t>
      </w:r>
      <w:r w:rsidR="00292B87">
        <w:t xml:space="preserve">, </w:t>
      </w:r>
      <w:r w:rsidR="007C0652">
        <w:t xml:space="preserve">it provides direction for </w:t>
      </w:r>
      <w:r w:rsidR="00426FDE">
        <w:t xml:space="preserve">the growth and development of the activity centre, building on the existing </w:t>
      </w:r>
      <w:r w:rsidR="001E6BDF">
        <w:rPr>
          <w:i/>
        </w:rPr>
        <w:t xml:space="preserve">Bendigo CBD Structure Plan </w:t>
      </w:r>
      <w:r w:rsidR="001E6BDF">
        <w:t>(Planisphere, 2006)</w:t>
      </w:r>
      <w:r w:rsidR="00BA68DA">
        <w:t>. The ACZ boundary has been defined using the criteria in PPN56.</w:t>
      </w:r>
      <w:r w:rsidR="00CF2558">
        <w:t xml:space="preserve"> </w:t>
      </w:r>
    </w:p>
    <w:p w14:paraId="0E7EB227" w14:textId="682AFFBF" w:rsidR="00250CBA" w:rsidRDefault="00250CBA" w:rsidP="00AE23B6">
      <w:r w:rsidRPr="00AE23B6">
        <w:t xml:space="preserve">On this basis, the ACZ is the most appropriate tool to implement and guide long-term development in accordance with the </w:t>
      </w:r>
      <w:r w:rsidRPr="00AE23B6">
        <w:rPr>
          <w:i/>
        </w:rPr>
        <w:t>Bendigo City Centre Plan</w:t>
      </w:r>
      <w:r w:rsidRPr="00AE23B6">
        <w:t xml:space="preserve"> </w:t>
      </w:r>
      <w:r w:rsidR="00AE23B6">
        <w:t>(</w:t>
      </w:r>
      <w:r w:rsidRPr="00AE23B6">
        <w:t>2020</w:t>
      </w:r>
      <w:r w:rsidR="00AE23B6">
        <w:t>)</w:t>
      </w:r>
      <w:r w:rsidRPr="00AE23B6">
        <w:t xml:space="preserve">. </w:t>
      </w:r>
    </w:p>
    <w:p w14:paraId="63A58869" w14:textId="30FAC971" w:rsidR="00D818E7" w:rsidRDefault="00D818E7" w:rsidP="00AE23B6">
      <w:r>
        <w:t xml:space="preserve">The proposed amendment </w:t>
      </w:r>
      <w:r w:rsidR="00171F8B">
        <w:t>makes several existing provisions in the planning scheme redundant, particular</w:t>
      </w:r>
      <w:r w:rsidR="009959C3">
        <w:t>ly</w:t>
      </w:r>
      <w:r w:rsidR="00171F8B">
        <w:t xml:space="preserve"> part of the Schedule to the </w:t>
      </w:r>
      <w:r w:rsidR="009959C3">
        <w:t>C1Z</w:t>
      </w:r>
      <w:r w:rsidR="0053738C">
        <w:t>, DDO5, DDO12, DDO13, part of DDO20</w:t>
      </w:r>
      <w:r w:rsidR="00C570CE">
        <w:t>, DDO21, part of DPO20 and part of PO1</w:t>
      </w:r>
      <w:r w:rsidR="00311CFA">
        <w:t>.</w:t>
      </w:r>
      <w:r w:rsidR="00C4467B">
        <w:t xml:space="preserve"> The proposed amendment </w:t>
      </w:r>
      <w:r w:rsidR="005E5608">
        <w:lastRenderedPageBreak/>
        <w:t>proposes to either delete or amend these provisions to avoid duplication and confusion.</w:t>
      </w:r>
    </w:p>
    <w:p w14:paraId="47870004" w14:textId="19F5A892" w:rsidR="00F470F9" w:rsidRDefault="00F470F9" w:rsidP="00AE23B6">
      <w:r>
        <w:t xml:space="preserve">PPN56 confirms that </w:t>
      </w:r>
      <w:r w:rsidR="00870533">
        <w:t xml:space="preserve">it is appropriate to incorporate </w:t>
      </w:r>
      <w:r w:rsidR="00793810">
        <w:t>DDO provisions in the ACZ1.</w:t>
      </w:r>
    </w:p>
    <w:p w14:paraId="7C609B31" w14:textId="502811C6" w:rsidR="005D0AD8" w:rsidRPr="00AE23B6" w:rsidRDefault="005D0AD8" w:rsidP="00AE23B6">
      <w:r w:rsidRPr="00AE23B6">
        <w:t xml:space="preserve">The </w:t>
      </w:r>
      <w:r w:rsidR="00696E68">
        <w:t xml:space="preserve">proposed </w:t>
      </w:r>
      <w:r w:rsidRPr="00AE23B6">
        <w:t xml:space="preserve">amendment has been prepared in accordance with the Planning Practice Note 56: Activity Centre Zone, Planning Practice Note 58: Structure Planning for Activity Centres, Planning Practice Note 59: the Role of Mandatory Provisions in Planning Schemes, Planning Practice Note 60: Height and Setback Controls for Activity Centres.  Further detail is provided in the Background Report. </w:t>
      </w:r>
    </w:p>
    <w:p w14:paraId="78FE8BC0" w14:textId="68D97FE7" w:rsidR="00B268AA" w:rsidRPr="00AE23B6" w:rsidRDefault="007B0A1C" w:rsidP="00AE23B6">
      <w:r w:rsidRPr="00AE23B6">
        <w:t xml:space="preserve">PPN01: Applying the Heritage Overlay has been used to update the Heritage Overlays in the Bendigo City Centre by implementing the recommendations of the </w:t>
      </w:r>
      <w:r w:rsidR="00574DED">
        <w:t>h</w:t>
      </w:r>
      <w:r w:rsidRPr="00AE23B6">
        <w:t>eritage study.</w:t>
      </w:r>
    </w:p>
    <w:p w14:paraId="349A295A" w14:textId="77777777" w:rsidR="00C951FC" w:rsidRDefault="00C951FC" w:rsidP="00C951FC">
      <w:pPr>
        <w:pStyle w:val="Heading3"/>
      </w:pPr>
      <w:r>
        <w:t>How does the amendment address the views of any relevant agency?</w:t>
      </w:r>
    </w:p>
    <w:p w14:paraId="6CB38904" w14:textId="10386CFA" w:rsidR="005E121F" w:rsidRPr="00037B63" w:rsidRDefault="005E121F" w:rsidP="00037B63">
      <w:r w:rsidRPr="00037B63">
        <w:t xml:space="preserve">The preliminary views of the following agencies were sought during the strategic planning process and </w:t>
      </w:r>
      <w:r w:rsidR="00E00903">
        <w:t xml:space="preserve">their views were considered in finalising </w:t>
      </w:r>
      <w:r w:rsidRPr="00037B63">
        <w:t>the</w:t>
      </w:r>
      <w:r w:rsidR="009021E5">
        <w:t xml:space="preserve"> plan,</w:t>
      </w:r>
      <w:r w:rsidRPr="00037B63">
        <w:t xml:space="preserve"> where appropriate:</w:t>
      </w:r>
    </w:p>
    <w:p w14:paraId="3E9C4ED9" w14:textId="77777777" w:rsidR="005E121F" w:rsidRPr="00037B63" w:rsidRDefault="005E121F" w:rsidP="00037B63">
      <w:pPr>
        <w:pStyle w:val="Bulletlist"/>
        <w:rPr>
          <w:rFonts w:cs="Arial"/>
          <w:szCs w:val="24"/>
          <w:lang w:val="en-GB"/>
        </w:rPr>
      </w:pPr>
      <w:bookmarkStart w:id="2" w:name="_Hlk116915454"/>
      <w:r w:rsidRPr="00037B63">
        <w:rPr>
          <w:rFonts w:cs="Arial"/>
          <w:szCs w:val="24"/>
          <w:lang w:val="en-GB"/>
        </w:rPr>
        <w:t>Country Fire Authority / Fire Rescue Victoria</w:t>
      </w:r>
    </w:p>
    <w:p w14:paraId="0D899FFF" w14:textId="77777777" w:rsidR="005E121F" w:rsidRPr="00037B63" w:rsidRDefault="005E121F" w:rsidP="00037B63">
      <w:pPr>
        <w:pStyle w:val="Bulletlist"/>
        <w:rPr>
          <w:rFonts w:cs="Arial"/>
          <w:szCs w:val="24"/>
          <w:lang w:val="en-GB"/>
        </w:rPr>
      </w:pPr>
      <w:r w:rsidRPr="00037B63">
        <w:rPr>
          <w:rFonts w:cs="Arial"/>
          <w:szCs w:val="24"/>
          <w:lang w:val="en-GB"/>
        </w:rPr>
        <w:t>Coliban Water</w:t>
      </w:r>
    </w:p>
    <w:p w14:paraId="73CB9FD9" w14:textId="7458F8AE" w:rsidR="005E121F" w:rsidRPr="00037B63" w:rsidRDefault="005E121F" w:rsidP="00037B63">
      <w:pPr>
        <w:pStyle w:val="Bulletlist"/>
        <w:rPr>
          <w:rFonts w:cs="Arial"/>
          <w:szCs w:val="24"/>
          <w:lang w:val="en-GB"/>
        </w:rPr>
      </w:pPr>
      <w:r w:rsidRPr="00037B63">
        <w:rPr>
          <w:rFonts w:cs="Arial"/>
          <w:szCs w:val="24"/>
          <w:lang w:val="en-GB"/>
        </w:rPr>
        <w:t>Department of Environment, Land, Water and Planning</w:t>
      </w:r>
      <w:r w:rsidR="009637CE">
        <w:rPr>
          <w:rFonts w:cs="Arial"/>
          <w:szCs w:val="24"/>
          <w:lang w:val="en-GB"/>
        </w:rPr>
        <w:t xml:space="preserve"> (former)</w:t>
      </w:r>
    </w:p>
    <w:p w14:paraId="65C03A18" w14:textId="77777777" w:rsidR="005E121F" w:rsidRPr="00037B63" w:rsidRDefault="005E121F" w:rsidP="00037B63">
      <w:pPr>
        <w:pStyle w:val="Bulletlist"/>
        <w:rPr>
          <w:rFonts w:cs="Arial"/>
          <w:szCs w:val="24"/>
          <w:lang w:val="en-GB"/>
        </w:rPr>
      </w:pPr>
      <w:r w:rsidRPr="00037B63">
        <w:rPr>
          <w:rFonts w:cs="Arial"/>
          <w:szCs w:val="24"/>
          <w:lang w:val="en-GB"/>
        </w:rPr>
        <w:t>Department of Transport and Planning</w:t>
      </w:r>
    </w:p>
    <w:p w14:paraId="1A81AB13" w14:textId="77777777" w:rsidR="005E121F" w:rsidRPr="00037B63" w:rsidRDefault="005E121F" w:rsidP="00037B63">
      <w:pPr>
        <w:pStyle w:val="Bulletlist"/>
        <w:rPr>
          <w:rFonts w:cs="Arial"/>
          <w:szCs w:val="24"/>
          <w:lang w:val="en-GB"/>
        </w:rPr>
      </w:pPr>
      <w:r w:rsidRPr="00037B63">
        <w:rPr>
          <w:rFonts w:cs="Arial"/>
          <w:szCs w:val="24"/>
          <w:lang w:val="en-GB"/>
        </w:rPr>
        <w:t xml:space="preserve">Dja </w:t>
      </w:r>
      <w:proofErr w:type="spellStart"/>
      <w:r w:rsidRPr="00037B63">
        <w:rPr>
          <w:rFonts w:cs="Arial"/>
          <w:szCs w:val="24"/>
          <w:lang w:val="en-GB"/>
        </w:rPr>
        <w:t>Dja</w:t>
      </w:r>
      <w:proofErr w:type="spellEnd"/>
      <w:r w:rsidRPr="00037B63">
        <w:rPr>
          <w:rFonts w:cs="Arial"/>
          <w:szCs w:val="24"/>
          <w:lang w:val="en-GB"/>
        </w:rPr>
        <w:t xml:space="preserve"> Wurrung Clans Aboriginal Corporation</w:t>
      </w:r>
    </w:p>
    <w:p w14:paraId="7B8CB125" w14:textId="48DFDC8E" w:rsidR="005E121F" w:rsidRPr="00037B63" w:rsidRDefault="005E121F" w:rsidP="00037B63">
      <w:pPr>
        <w:pStyle w:val="Bulletlist"/>
        <w:rPr>
          <w:rFonts w:cs="Arial"/>
          <w:szCs w:val="24"/>
          <w:lang w:val="en-GB"/>
        </w:rPr>
      </w:pPr>
      <w:r w:rsidRPr="00037B63">
        <w:rPr>
          <w:rFonts w:cs="Arial"/>
          <w:szCs w:val="24"/>
          <w:lang w:val="en-GB"/>
        </w:rPr>
        <w:t xml:space="preserve">Heritage Victoria </w:t>
      </w:r>
      <w:r w:rsidR="00BD25AB">
        <w:rPr>
          <w:rFonts w:cs="Arial"/>
          <w:szCs w:val="24"/>
          <w:lang w:val="en-GB"/>
        </w:rPr>
        <w:t>(</w:t>
      </w:r>
      <w:r w:rsidRPr="00037B63">
        <w:rPr>
          <w:rFonts w:cs="Arial"/>
          <w:szCs w:val="24"/>
          <w:lang w:val="en-GB"/>
        </w:rPr>
        <w:t xml:space="preserve">comment noting potential of archaeological impacts which was addressed in the final adopted </w:t>
      </w:r>
      <w:r w:rsidR="009021E5">
        <w:rPr>
          <w:rFonts w:cs="Arial"/>
          <w:szCs w:val="24"/>
          <w:lang w:val="en-GB"/>
        </w:rPr>
        <w:t>p</w:t>
      </w:r>
      <w:r w:rsidRPr="00037B63">
        <w:rPr>
          <w:rFonts w:cs="Arial"/>
          <w:szCs w:val="24"/>
          <w:lang w:val="en-GB"/>
        </w:rPr>
        <w:t>lan</w:t>
      </w:r>
      <w:r w:rsidR="00BD25AB">
        <w:rPr>
          <w:rFonts w:cs="Arial"/>
          <w:szCs w:val="24"/>
          <w:lang w:val="en-GB"/>
        </w:rPr>
        <w:t>)</w:t>
      </w:r>
    </w:p>
    <w:p w14:paraId="08783DD2" w14:textId="47E57471" w:rsidR="005D0AD8" w:rsidRPr="00037B63" w:rsidRDefault="005E121F" w:rsidP="00037B63">
      <w:pPr>
        <w:pStyle w:val="Bulletlist"/>
        <w:rPr>
          <w:rFonts w:cs="Arial"/>
          <w:szCs w:val="24"/>
          <w:lang w:val="en-GB"/>
        </w:rPr>
      </w:pPr>
      <w:r w:rsidRPr="00037B63">
        <w:rPr>
          <w:rFonts w:cs="Arial"/>
          <w:szCs w:val="24"/>
          <w:lang w:val="en-GB"/>
        </w:rPr>
        <w:t>Regional Development Victoria</w:t>
      </w:r>
    </w:p>
    <w:p w14:paraId="5F74CFF3" w14:textId="48B0F069" w:rsidR="005E121F" w:rsidRPr="00037B63" w:rsidRDefault="005D0AD8" w:rsidP="00037B63">
      <w:pPr>
        <w:pStyle w:val="Bulletlist"/>
        <w:rPr>
          <w:rFonts w:cs="Arial"/>
          <w:szCs w:val="24"/>
          <w:lang w:val="en-GB"/>
        </w:rPr>
      </w:pPr>
      <w:r w:rsidRPr="00037B63">
        <w:rPr>
          <w:rFonts w:cs="Arial"/>
          <w:szCs w:val="24"/>
          <w:lang w:val="en-GB"/>
        </w:rPr>
        <w:t>Environmental Protection Authority</w:t>
      </w:r>
      <w:r w:rsidR="00456B09">
        <w:rPr>
          <w:rFonts w:cs="Arial"/>
          <w:szCs w:val="24"/>
          <w:lang w:val="en-GB"/>
        </w:rPr>
        <w:t xml:space="preserve"> Victoria</w:t>
      </w:r>
    </w:p>
    <w:bookmarkEnd w:id="2"/>
    <w:p w14:paraId="1F5A92B1" w14:textId="77777777" w:rsidR="005E121F" w:rsidRPr="00037B63" w:rsidRDefault="005E121F" w:rsidP="00037B63">
      <w:r w:rsidRPr="00037B63">
        <w:t xml:space="preserve">Additionally, the draft Bendigo City Centre Plan (2019) was publicly exhibited between 19 September and 27 October 2019. The engagement process provided an opportunity for the public and stakeholder groups to view and comment on the draft plans.  Submissions were considered and informed the final version of the Bendigo City Centre Plan 2020 as documented in the </w:t>
      </w:r>
      <w:hyperlink r:id="rId18" w:history="1">
        <w:r w:rsidRPr="00037B63">
          <w:t>Agenda for the Ordinary Meeting of Council</w:t>
        </w:r>
      </w:hyperlink>
      <w:r w:rsidRPr="00037B63">
        <w:t xml:space="preserve"> dated 6 May 2020.</w:t>
      </w:r>
    </w:p>
    <w:p w14:paraId="6BC55182" w14:textId="045D25AC" w:rsidR="005E121F" w:rsidRPr="00037B63" w:rsidRDefault="005E121F" w:rsidP="00037B63">
      <w:r w:rsidRPr="00037B63">
        <w:t xml:space="preserve">Following consultation, </w:t>
      </w:r>
      <w:r w:rsidR="005D0AD8" w:rsidRPr="00037B63">
        <w:t>minor</w:t>
      </w:r>
      <w:r w:rsidRPr="00037B63">
        <w:t xml:space="preserve"> changes were required to the draft documents from agenc</w:t>
      </w:r>
      <w:r w:rsidR="00A4311E">
        <w:t>y</w:t>
      </w:r>
      <w:r w:rsidRPr="00037B63">
        <w:t xml:space="preserve"> perspectives. </w:t>
      </w:r>
    </w:p>
    <w:p w14:paraId="0A4914F3" w14:textId="77777777" w:rsidR="00E00903" w:rsidRDefault="005E121F" w:rsidP="00037B63">
      <w:r w:rsidRPr="00037B63">
        <w:t>The exhibition of the amendment will provide a further formal opportunity for agencies and other stakeholders to make submissions.</w:t>
      </w:r>
    </w:p>
    <w:p w14:paraId="7AF18C4F" w14:textId="77777777" w:rsidR="00666453" w:rsidRDefault="00666453" w:rsidP="00666453">
      <w:pPr>
        <w:pStyle w:val="Heading3"/>
      </w:pPr>
      <w:r>
        <w:t>Does the amendment address relevant requirements of the Transport Integration Act 2010?</w:t>
      </w:r>
    </w:p>
    <w:p w14:paraId="3B830E04" w14:textId="09D0139D" w:rsidR="005E121F" w:rsidRPr="00312351" w:rsidRDefault="005E121F" w:rsidP="00312351">
      <w:r w:rsidRPr="00312351">
        <w:t xml:space="preserve">The </w:t>
      </w:r>
      <w:r w:rsidR="00E315F1">
        <w:t xml:space="preserve">proposed </w:t>
      </w:r>
      <w:r w:rsidRPr="00312351">
        <w:t xml:space="preserve">amendment </w:t>
      </w:r>
      <w:r w:rsidR="00E315F1">
        <w:t xml:space="preserve">is likely to have a significant impact </w:t>
      </w:r>
      <w:r w:rsidR="00AC3B9F">
        <w:t xml:space="preserve">on the transport </w:t>
      </w:r>
      <w:r w:rsidR="00AC3B9F">
        <w:lastRenderedPageBreak/>
        <w:t xml:space="preserve">system, as defined by section 3 of the </w:t>
      </w:r>
      <w:r w:rsidRPr="00D260E3">
        <w:rPr>
          <w:i/>
        </w:rPr>
        <w:t>Transport Integration Act 2010</w:t>
      </w:r>
      <w:r w:rsidR="00D260E3">
        <w:t xml:space="preserve"> (TI Act)</w:t>
      </w:r>
      <w:r w:rsidR="004F7BEF">
        <w:t xml:space="preserve">, particularly the physical components including roads, car parking spaces, </w:t>
      </w:r>
      <w:r w:rsidR="0027649A">
        <w:t>pedestrian and cycling paths in the City Centre</w:t>
      </w:r>
    </w:p>
    <w:p w14:paraId="2DBD9379" w14:textId="12D3A457" w:rsidR="005E121F" w:rsidRDefault="005E121F" w:rsidP="00312351">
      <w:pPr>
        <w:rPr>
          <w:rFonts w:cs="Arial"/>
          <w:szCs w:val="24"/>
        </w:rPr>
      </w:pPr>
      <w:r w:rsidRPr="006533E1">
        <w:rPr>
          <w:rFonts w:cs="Arial"/>
          <w:szCs w:val="24"/>
        </w:rPr>
        <w:t xml:space="preserve">The </w:t>
      </w:r>
      <w:r w:rsidR="00691EC2">
        <w:rPr>
          <w:rFonts w:cs="Arial"/>
          <w:szCs w:val="24"/>
        </w:rPr>
        <w:t xml:space="preserve">proposed </w:t>
      </w:r>
      <w:r w:rsidRPr="006533E1">
        <w:rPr>
          <w:rFonts w:cs="Arial"/>
          <w:szCs w:val="24"/>
        </w:rPr>
        <w:t xml:space="preserve">amendment, </w:t>
      </w:r>
      <w:r w:rsidR="00691EC2">
        <w:rPr>
          <w:rFonts w:cs="Arial"/>
          <w:szCs w:val="24"/>
        </w:rPr>
        <w:t>particularly the ACZ1 and</w:t>
      </w:r>
      <w:r w:rsidRPr="006533E1">
        <w:rPr>
          <w:rFonts w:cs="Arial"/>
          <w:szCs w:val="24"/>
        </w:rPr>
        <w:t xml:space="preserve"> PO3, meets the following transport system objectives:</w:t>
      </w:r>
    </w:p>
    <w:p w14:paraId="5CCF6651" w14:textId="77777777" w:rsidR="005E121F" w:rsidRPr="00312351" w:rsidRDefault="005E121F" w:rsidP="00312351">
      <w:pPr>
        <w:pStyle w:val="Bulletlist"/>
        <w:rPr>
          <w:rFonts w:cs="Arial"/>
          <w:szCs w:val="24"/>
          <w:lang w:val="en-GB"/>
        </w:rPr>
      </w:pPr>
      <w:r w:rsidRPr="00312351">
        <w:rPr>
          <w:rFonts w:cs="Arial"/>
          <w:szCs w:val="24"/>
          <w:lang w:val="en-GB"/>
        </w:rPr>
        <w:t xml:space="preserve">Section 8 – By encouraging a public transport network that is designed to maximise efficient coverage which promotes social and economic inclusion. </w:t>
      </w:r>
    </w:p>
    <w:p w14:paraId="1B9517B5" w14:textId="77777777" w:rsidR="005E121F" w:rsidRPr="00312351" w:rsidRDefault="005E121F" w:rsidP="00312351">
      <w:pPr>
        <w:pStyle w:val="Bulletlist"/>
        <w:rPr>
          <w:rFonts w:cs="Arial"/>
          <w:szCs w:val="24"/>
          <w:lang w:val="en-GB"/>
        </w:rPr>
      </w:pPr>
      <w:r w:rsidRPr="00312351">
        <w:rPr>
          <w:rFonts w:cs="Arial"/>
          <w:szCs w:val="24"/>
          <w:lang w:val="en-GB"/>
        </w:rPr>
        <w:t xml:space="preserve">Section 9 – By enabling efficient and effective access for persons and goods to places of employment, markets and services. </w:t>
      </w:r>
    </w:p>
    <w:p w14:paraId="41BB2BE8" w14:textId="77777777" w:rsidR="005E121F" w:rsidRPr="00312351" w:rsidRDefault="005E121F" w:rsidP="00312351">
      <w:pPr>
        <w:pStyle w:val="Bulletlist"/>
        <w:rPr>
          <w:rFonts w:cs="Arial"/>
          <w:szCs w:val="24"/>
          <w:lang w:val="en-GB"/>
        </w:rPr>
      </w:pPr>
      <w:r w:rsidRPr="00312351">
        <w:rPr>
          <w:rFonts w:cs="Arial"/>
          <w:szCs w:val="24"/>
          <w:lang w:val="en-GB"/>
        </w:rPr>
        <w:t xml:space="preserve">Section 10 – By promoting sustainable forms of transport by prioritising pedestrian and cycle networks. </w:t>
      </w:r>
    </w:p>
    <w:p w14:paraId="4490431D" w14:textId="77777777" w:rsidR="005E121F" w:rsidRPr="00312351" w:rsidRDefault="005E121F" w:rsidP="00312351">
      <w:pPr>
        <w:pStyle w:val="Bulletlist"/>
        <w:rPr>
          <w:rFonts w:cs="Arial"/>
          <w:szCs w:val="24"/>
          <w:lang w:val="en-GB"/>
        </w:rPr>
      </w:pPr>
      <w:r w:rsidRPr="00312351">
        <w:rPr>
          <w:rFonts w:cs="Arial"/>
          <w:szCs w:val="24"/>
          <w:lang w:val="en-GB"/>
        </w:rPr>
        <w:t xml:space="preserve">Section 11 – By improving the effective integration of transport and land use and facilitates access to social and economic opportunities. </w:t>
      </w:r>
    </w:p>
    <w:p w14:paraId="7F0B355B" w14:textId="6D6B9596" w:rsidR="005E121F" w:rsidRPr="00312351" w:rsidRDefault="005E121F" w:rsidP="00312351">
      <w:pPr>
        <w:pStyle w:val="Bulletlist"/>
        <w:rPr>
          <w:rFonts w:cs="Arial"/>
          <w:szCs w:val="24"/>
          <w:lang w:val="en-GB"/>
        </w:rPr>
      </w:pPr>
      <w:r w:rsidRPr="00312351">
        <w:rPr>
          <w:rFonts w:cs="Arial"/>
          <w:szCs w:val="24"/>
          <w:lang w:val="en-GB"/>
        </w:rPr>
        <w:t>Section 13 – By encouraging a transport system that is safe and supports health and wellbeing.</w:t>
      </w:r>
    </w:p>
    <w:p w14:paraId="61AC8A78" w14:textId="77777777" w:rsidR="009908C9" w:rsidRPr="003D784B" w:rsidRDefault="009908C9" w:rsidP="009908C9">
      <w:pPr>
        <w:pStyle w:val="Heading3"/>
      </w:pPr>
      <w:r w:rsidRPr="00FC21DA">
        <w:t xml:space="preserve">How does the amendment have regard to the principles set out in </w:t>
      </w:r>
      <w:r>
        <w:t>the</w:t>
      </w:r>
      <w:r w:rsidRPr="00FC21DA">
        <w:t xml:space="preserve"> </w:t>
      </w:r>
      <w:bookmarkStart w:id="3" w:name="_Hlk193114501"/>
      <w:r w:rsidRPr="00FC21DA">
        <w:rPr>
          <w:i/>
        </w:rPr>
        <w:t>Yarra River Protection (</w:t>
      </w:r>
      <w:proofErr w:type="spellStart"/>
      <w:r w:rsidRPr="00FC21DA">
        <w:rPr>
          <w:i/>
        </w:rPr>
        <w:t>Wilip</w:t>
      </w:r>
      <w:proofErr w:type="spellEnd"/>
      <w:r w:rsidRPr="00FC21DA">
        <w:rPr>
          <w:i/>
        </w:rPr>
        <w:t xml:space="preserve">-gin Birrarung </w:t>
      </w:r>
      <w:proofErr w:type="spellStart"/>
      <w:r w:rsidRPr="00FC21DA">
        <w:rPr>
          <w:i/>
        </w:rPr>
        <w:t>murron</w:t>
      </w:r>
      <w:proofErr w:type="spellEnd"/>
      <w:r w:rsidRPr="00FC21DA">
        <w:rPr>
          <w:i/>
        </w:rPr>
        <w:t>) Act 2017</w:t>
      </w:r>
      <w:r w:rsidRPr="00FC21DA">
        <w:t xml:space="preserve"> </w:t>
      </w:r>
      <w:bookmarkEnd w:id="3"/>
      <w:r w:rsidRPr="00FC21DA">
        <w:t>in relation to Yarra River land</w:t>
      </w:r>
      <w:r>
        <w:t xml:space="preserve"> and other land, the use or development of which may affect Yarra River land?</w:t>
      </w:r>
    </w:p>
    <w:p w14:paraId="7597D45A" w14:textId="77777777" w:rsidR="00A93051" w:rsidRDefault="00A93051" w:rsidP="00A93051">
      <w:r>
        <w:t xml:space="preserve">The principles set out in the </w:t>
      </w:r>
      <w:r w:rsidRPr="00E77DAB">
        <w:rPr>
          <w:i/>
        </w:rPr>
        <w:t>Yarra River Protection (</w:t>
      </w:r>
      <w:proofErr w:type="spellStart"/>
      <w:r w:rsidRPr="00E77DAB">
        <w:rPr>
          <w:i/>
        </w:rPr>
        <w:t>Wilip</w:t>
      </w:r>
      <w:proofErr w:type="spellEnd"/>
      <w:r w:rsidRPr="00E77DAB">
        <w:rPr>
          <w:i/>
        </w:rPr>
        <w:t xml:space="preserve">-gin Birrarung </w:t>
      </w:r>
      <w:proofErr w:type="spellStart"/>
      <w:r w:rsidRPr="00E77DAB">
        <w:rPr>
          <w:i/>
        </w:rPr>
        <w:t>murron</w:t>
      </w:r>
      <w:proofErr w:type="spellEnd"/>
      <w:r w:rsidRPr="00E77DAB">
        <w:rPr>
          <w:i/>
        </w:rPr>
        <w:t>) Act 2017</w:t>
      </w:r>
      <w:r>
        <w:t xml:space="preserve"> are not relevant to the amendment, as the affected land is distant from Yarra River land.</w:t>
      </w:r>
    </w:p>
    <w:p w14:paraId="79C4E59D" w14:textId="77777777" w:rsidR="00DE4F6B" w:rsidRDefault="00DE4F6B" w:rsidP="00DE4F6B">
      <w:pPr>
        <w:pStyle w:val="Heading2"/>
      </w:pPr>
      <w:r>
        <w:t>Resource and administrative costs</w:t>
      </w:r>
    </w:p>
    <w:p w14:paraId="11A9BE76" w14:textId="77777777" w:rsidR="00DE4F6B" w:rsidRDefault="00DE4F6B" w:rsidP="00DE4F6B">
      <w:pPr>
        <w:pStyle w:val="Heading3"/>
      </w:pPr>
      <w:r>
        <w:t>What impact will the new planning provisions have on the resource and administrative costs of the responsible authority?</w:t>
      </w:r>
    </w:p>
    <w:p w14:paraId="511054F8" w14:textId="6CA9A515" w:rsidR="00340A96" w:rsidRDefault="008379F8" w:rsidP="00340A96">
      <w:r w:rsidRPr="00312351">
        <w:t>The amendment is expected to promote investor/developer interest in the Bendigo City Centre, resulting in associated enquiries.  The amendment is also expected to facilitate additional planning permit applications.  These enquiries and planning permit applications are likely to occur incrementally over time and so the amendment is not expected to unreasonably impact on the existing resources and administrative costs of the responsible authority.</w:t>
      </w:r>
    </w:p>
    <w:p w14:paraId="432F0838" w14:textId="77777777" w:rsidR="00340A96" w:rsidRDefault="00340A96">
      <w:pPr>
        <w:widowControl/>
        <w:autoSpaceDE/>
        <w:autoSpaceDN/>
        <w:spacing w:before="0" w:after="200"/>
      </w:pPr>
      <w:r>
        <w:br w:type="page"/>
      </w:r>
    </w:p>
    <w:p w14:paraId="35CBF603" w14:textId="77777777" w:rsidR="00D86500" w:rsidRDefault="00D86500" w:rsidP="00340A96">
      <w:pPr>
        <w:rPr>
          <w:rFonts w:cs="Arial"/>
          <w:color w:val="44546A" w:themeColor="text2"/>
          <w:szCs w:val="24"/>
          <w:highlight w:val="lightGray"/>
        </w:rPr>
      </w:pPr>
    </w:p>
    <w:p w14:paraId="071ED53B" w14:textId="77777777" w:rsidR="00A15C2E" w:rsidRPr="006533E1" w:rsidRDefault="00A15C2E" w:rsidP="008379F8">
      <w:pPr>
        <w:pStyle w:val="Bulletlist"/>
        <w:numPr>
          <w:ilvl w:val="0"/>
          <w:numId w:val="0"/>
        </w:numPr>
        <w:ind w:left="360"/>
        <w:rPr>
          <w:rFonts w:cs="Arial"/>
          <w:color w:val="44546A" w:themeColor="text2"/>
          <w:szCs w:val="24"/>
          <w:highlight w:val="lightGray"/>
        </w:rPr>
      </w:pPr>
    </w:p>
    <w:p w14:paraId="3B8059D8" w14:textId="168C1B37" w:rsidR="00BA2019" w:rsidRDefault="00BA2019" w:rsidP="00BA2019">
      <w:pPr>
        <w:pStyle w:val="Heading2"/>
      </w:pPr>
      <w:r>
        <w:t>Attachment 1 – Mapping reference table</w:t>
      </w:r>
    </w:p>
    <w:tbl>
      <w:tblPr>
        <w:tblW w:w="83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1247"/>
        <w:gridCol w:w="1763"/>
        <w:gridCol w:w="2010"/>
        <w:gridCol w:w="1645"/>
        <w:gridCol w:w="1660"/>
      </w:tblGrid>
      <w:tr w:rsidR="00125BA4" w14:paraId="6E8C5B3D" w14:textId="77777777" w:rsidTr="00125BA4">
        <w:trPr>
          <w:trHeight w:val="579"/>
          <w:tblHeader/>
        </w:trPr>
        <w:tc>
          <w:tcPr>
            <w:tcW w:w="1247"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2DE155" w14:textId="77777777" w:rsidR="002E14A8" w:rsidRDefault="002E14A8">
            <w:pPr>
              <w:pStyle w:val="Tableheader"/>
              <w:spacing w:line="276" w:lineRule="auto"/>
              <w:rPr>
                <w:kern w:val="2"/>
                <w:lang w:eastAsia="en-US"/>
                <w14:ligatures w14:val="standardContextual"/>
              </w:rPr>
            </w:pPr>
            <w:r>
              <w:rPr>
                <w:kern w:val="2"/>
                <w:lang w:eastAsia="en-US"/>
                <w14:ligatures w14:val="standardContextual"/>
              </w:rPr>
              <w:t xml:space="preserve">Location </w:t>
            </w:r>
          </w:p>
        </w:tc>
        <w:tc>
          <w:tcPr>
            <w:tcW w:w="176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42A2ABC" w14:textId="77777777" w:rsidR="002E14A8" w:rsidRDefault="002E14A8">
            <w:pPr>
              <w:pStyle w:val="Tableheader"/>
              <w:spacing w:line="276" w:lineRule="auto"/>
              <w:rPr>
                <w:kern w:val="2"/>
                <w:lang w:eastAsia="en-US"/>
                <w14:ligatures w14:val="standardContextual"/>
              </w:rPr>
            </w:pPr>
            <w:r>
              <w:rPr>
                <w:kern w:val="2"/>
                <w:lang w:eastAsia="en-US"/>
                <w14:ligatures w14:val="standardContextual"/>
              </w:rPr>
              <w:t>Land /Area Affected</w:t>
            </w:r>
          </w:p>
        </w:tc>
        <w:tc>
          <w:tcPr>
            <w:tcW w:w="201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0B64940" w14:textId="77777777" w:rsidR="002E14A8" w:rsidRDefault="002E14A8">
            <w:pPr>
              <w:pStyle w:val="Tableheader"/>
              <w:spacing w:line="276" w:lineRule="auto"/>
              <w:rPr>
                <w:kern w:val="2"/>
                <w:lang w:eastAsia="en-US"/>
                <w14:ligatures w14:val="standardContextual"/>
              </w:rPr>
            </w:pPr>
            <w:r>
              <w:rPr>
                <w:kern w:val="2"/>
                <w:lang w:eastAsia="en-US"/>
                <w14:ligatures w14:val="standardContextual"/>
              </w:rPr>
              <w:t>Mapping Reference</w:t>
            </w:r>
          </w:p>
        </w:tc>
        <w:tc>
          <w:tcPr>
            <w:tcW w:w="164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24FA78" w14:textId="77777777" w:rsidR="002E14A8" w:rsidRDefault="002E14A8">
            <w:pPr>
              <w:pStyle w:val="Tableheader"/>
              <w:spacing w:line="276" w:lineRule="auto"/>
              <w:rPr>
                <w:kern w:val="2"/>
                <w:lang w:eastAsia="en-US"/>
                <w14:ligatures w14:val="standardContextual"/>
              </w:rPr>
            </w:pPr>
            <w:r>
              <w:rPr>
                <w:kern w:val="2"/>
                <w:lang w:eastAsia="en-US"/>
                <w14:ligatures w14:val="standardContextual"/>
              </w:rPr>
              <w:t>Address</w:t>
            </w:r>
          </w:p>
        </w:tc>
        <w:tc>
          <w:tcPr>
            <w:tcW w:w="166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1A9CA6D" w14:textId="09EF8AA0" w:rsidR="002E14A8" w:rsidRDefault="002E14A8">
            <w:pPr>
              <w:pStyle w:val="Tableheader"/>
              <w:spacing w:line="276" w:lineRule="auto"/>
              <w:rPr>
                <w:kern w:val="2"/>
                <w:lang w:eastAsia="en-US"/>
                <w14:ligatures w14:val="standardContextual"/>
              </w:rPr>
            </w:pPr>
            <w:r>
              <w:rPr>
                <w:kern w:val="2"/>
                <w:lang w:eastAsia="en-US"/>
                <w14:ligatures w14:val="standardContextual"/>
              </w:rPr>
              <w:t>Proposed Zone, Overlay and deletion changes</w:t>
            </w:r>
          </w:p>
        </w:tc>
      </w:tr>
      <w:tr w:rsidR="00125BA4" w14:paraId="5666EA88" w14:textId="77777777" w:rsidTr="00125BA4">
        <w:trPr>
          <w:trHeight w:val="310"/>
        </w:trPr>
        <w:tc>
          <w:tcPr>
            <w:tcW w:w="1247" w:type="dxa"/>
            <w:tcBorders>
              <w:top w:val="single" w:sz="4" w:space="0" w:color="auto"/>
              <w:left w:val="single" w:sz="4" w:space="0" w:color="auto"/>
              <w:bottom w:val="single" w:sz="4" w:space="0" w:color="auto"/>
              <w:right w:val="single" w:sz="4" w:space="0" w:color="auto"/>
            </w:tcBorders>
          </w:tcPr>
          <w:p w14:paraId="430E7A48" w14:textId="2DACC682" w:rsidR="002E14A8" w:rsidRPr="00D86500" w:rsidRDefault="002E14A8">
            <w:pPr>
              <w:pStyle w:val="Tabletext"/>
              <w:spacing w:line="276" w:lineRule="auto"/>
              <w:ind w:right="32"/>
              <w:rPr>
                <w:rFonts w:cs="Arial"/>
                <w:color w:val="000000" w:themeColor="text1"/>
                <w:kern w:val="2"/>
                <w:szCs w:val="22"/>
                <w:lang w:eastAsia="en-US"/>
                <w14:ligatures w14:val="standardContextual"/>
              </w:rPr>
            </w:pPr>
            <w:r w:rsidRPr="00D86500">
              <w:rPr>
                <w:rFonts w:cs="Arial"/>
                <w:color w:val="000000" w:themeColor="text1"/>
                <w:kern w:val="2"/>
                <w:szCs w:val="22"/>
                <w:lang w:eastAsia="en-US"/>
                <w14:ligatures w14:val="standardContextual"/>
              </w:rPr>
              <w:t>Bendigo</w:t>
            </w:r>
          </w:p>
        </w:tc>
        <w:tc>
          <w:tcPr>
            <w:tcW w:w="1763" w:type="dxa"/>
            <w:tcBorders>
              <w:top w:val="single" w:sz="4" w:space="0" w:color="auto"/>
              <w:left w:val="single" w:sz="4" w:space="0" w:color="auto"/>
              <w:bottom w:val="single" w:sz="4" w:space="0" w:color="auto"/>
              <w:right w:val="single" w:sz="4" w:space="0" w:color="auto"/>
            </w:tcBorders>
          </w:tcPr>
          <w:p w14:paraId="1D75EC7B" w14:textId="67A2DD06" w:rsidR="002E14A8" w:rsidRPr="00D86500" w:rsidRDefault="002E14A8">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Bendigo City Centre (refer to Map 1 of this report)</w:t>
            </w:r>
          </w:p>
        </w:tc>
        <w:tc>
          <w:tcPr>
            <w:tcW w:w="2010" w:type="dxa"/>
            <w:tcBorders>
              <w:top w:val="single" w:sz="4" w:space="0" w:color="auto"/>
              <w:left w:val="single" w:sz="4" w:space="0" w:color="auto"/>
              <w:bottom w:val="single" w:sz="4" w:space="0" w:color="auto"/>
              <w:right w:val="single" w:sz="4" w:space="0" w:color="auto"/>
            </w:tcBorders>
          </w:tcPr>
          <w:p w14:paraId="2A0FFE57" w14:textId="77777777" w:rsidR="002E14A8" w:rsidRDefault="003F6CB6">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 xml:space="preserve">Greater Bendigo C279gben </w:t>
            </w:r>
            <w:r w:rsidR="00A2317C">
              <w:rPr>
                <w:rFonts w:cs="Arial"/>
                <w:color w:val="000000" w:themeColor="text1"/>
                <w:kern w:val="2"/>
                <w:szCs w:val="22"/>
                <w:lang w:eastAsia="en-US"/>
                <w14:ligatures w14:val="standardContextual"/>
              </w:rPr>
              <w:t>001znMaps19_23 Exhibition</w:t>
            </w:r>
          </w:p>
          <w:p w14:paraId="2F7BBCD5" w14:textId="51FD276D"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002d-ddoMaps19_23 Exhibition</w:t>
            </w:r>
          </w:p>
          <w:p w14:paraId="4D3A8D52" w14:textId="0FC6AA7C"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9718BD">
              <w:rPr>
                <w:rFonts w:cs="Arial"/>
                <w:color w:val="000000" w:themeColor="text1"/>
                <w:kern w:val="2"/>
                <w:szCs w:val="22"/>
                <w:lang w:eastAsia="en-US"/>
                <w14:ligatures w14:val="standardContextual"/>
              </w:rPr>
              <w:t>3d-po</w:t>
            </w:r>
            <w:r>
              <w:rPr>
                <w:rFonts w:cs="Arial"/>
                <w:color w:val="000000" w:themeColor="text1"/>
                <w:kern w:val="2"/>
                <w:szCs w:val="22"/>
                <w:lang w:eastAsia="en-US"/>
                <w14:ligatures w14:val="standardContextual"/>
              </w:rPr>
              <w:t>Maps19_23 Exhibition</w:t>
            </w:r>
          </w:p>
          <w:p w14:paraId="6A8E4398" w14:textId="7B244A01"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2111CE">
              <w:rPr>
                <w:rFonts w:cs="Arial"/>
                <w:color w:val="000000" w:themeColor="text1"/>
                <w:kern w:val="2"/>
                <w:szCs w:val="22"/>
                <w:lang w:eastAsia="en-US"/>
                <w14:ligatures w14:val="standardContextual"/>
              </w:rPr>
              <w:t>4eao</w:t>
            </w:r>
            <w:r>
              <w:rPr>
                <w:rFonts w:cs="Arial"/>
                <w:color w:val="000000" w:themeColor="text1"/>
                <w:kern w:val="2"/>
                <w:szCs w:val="22"/>
                <w:lang w:eastAsia="en-US"/>
                <w14:ligatures w14:val="standardContextual"/>
              </w:rPr>
              <w:t>Map19 Exhibition</w:t>
            </w:r>
          </w:p>
          <w:p w14:paraId="6287CF13" w14:textId="2896CC8A"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5A35D1">
              <w:rPr>
                <w:rFonts w:cs="Arial"/>
                <w:color w:val="000000" w:themeColor="text1"/>
                <w:kern w:val="2"/>
                <w:szCs w:val="22"/>
                <w:lang w:eastAsia="en-US"/>
                <w14:ligatures w14:val="standardContextual"/>
              </w:rPr>
              <w:t>5po</w:t>
            </w:r>
            <w:r>
              <w:rPr>
                <w:rFonts w:cs="Arial"/>
                <w:color w:val="000000" w:themeColor="text1"/>
                <w:kern w:val="2"/>
                <w:szCs w:val="22"/>
                <w:lang w:eastAsia="en-US"/>
                <w14:ligatures w14:val="standardContextual"/>
              </w:rPr>
              <w:t>Maps19_23 Exhibition</w:t>
            </w:r>
          </w:p>
          <w:p w14:paraId="631BE606" w14:textId="001764A7"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E27657">
              <w:rPr>
                <w:rFonts w:cs="Arial"/>
                <w:color w:val="000000" w:themeColor="text1"/>
                <w:kern w:val="2"/>
                <w:szCs w:val="22"/>
                <w:lang w:eastAsia="en-US"/>
                <w14:ligatures w14:val="standardContextual"/>
              </w:rPr>
              <w:t>6d-ho</w:t>
            </w:r>
            <w:r>
              <w:rPr>
                <w:rFonts w:cs="Arial"/>
                <w:color w:val="000000" w:themeColor="text1"/>
                <w:kern w:val="2"/>
                <w:szCs w:val="22"/>
                <w:lang w:eastAsia="en-US"/>
                <w14:ligatures w14:val="standardContextual"/>
              </w:rPr>
              <w:t>Map19</w:t>
            </w:r>
            <w:r w:rsidR="00E27657">
              <w:rPr>
                <w:rFonts w:cs="Arial"/>
                <w:color w:val="000000" w:themeColor="text1"/>
                <w:kern w:val="2"/>
                <w:szCs w:val="22"/>
                <w:lang w:eastAsia="en-US"/>
                <w14:ligatures w14:val="standardContextual"/>
              </w:rPr>
              <w:t xml:space="preserve"> </w:t>
            </w:r>
            <w:r>
              <w:rPr>
                <w:rFonts w:cs="Arial"/>
                <w:color w:val="000000" w:themeColor="text1"/>
                <w:kern w:val="2"/>
                <w:szCs w:val="22"/>
                <w:lang w:eastAsia="en-US"/>
                <w14:ligatures w14:val="standardContextual"/>
              </w:rPr>
              <w:t>Exhibition</w:t>
            </w:r>
          </w:p>
          <w:p w14:paraId="08ACBC8B" w14:textId="22003086" w:rsidR="00A2317C" w:rsidRDefault="00A2317C" w:rsidP="00A2317C">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9D2C11">
              <w:rPr>
                <w:rFonts w:cs="Arial"/>
                <w:color w:val="000000" w:themeColor="text1"/>
                <w:kern w:val="2"/>
                <w:szCs w:val="22"/>
                <w:lang w:eastAsia="en-US"/>
                <w14:ligatures w14:val="standardContextual"/>
              </w:rPr>
              <w:t>7d-ho</w:t>
            </w:r>
            <w:r>
              <w:rPr>
                <w:rFonts w:cs="Arial"/>
                <w:color w:val="000000" w:themeColor="text1"/>
                <w:kern w:val="2"/>
                <w:szCs w:val="22"/>
                <w:lang w:eastAsia="en-US"/>
                <w14:ligatures w14:val="standardContextual"/>
              </w:rPr>
              <w:t>Map19 Exhibition</w:t>
            </w:r>
          </w:p>
          <w:p w14:paraId="4FFDF9BB" w14:textId="153DC0F0" w:rsidR="00A2317C" w:rsidRPr="00D86500" w:rsidRDefault="00A2317C" w:rsidP="00125BA4">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Greater Bendigo C279gben 00</w:t>
            </w:r>
            <w:r w:rsidR="00BF1DA1">
              <w:rPr>
                <w:rFonts w:cs="Arial"/>
                <w:color w:val="000000" w:themeColor="text1"/>
                <w:kern w:val="2"/>
                <w:szCs w:val="22"/>
                <w:lang w:eastAsia="en-US"/>
                <w14:ligatures w14:val="standardContextual"/>
              </w:rPr>
              <w:t>8ho</w:t>
            </w:r>
            <w:r>
              <w:rPr>
                <w:rFonts w:cs="Arial"/>
                <w:color w:val="000000" w:themeColor="text1"/>
                <w:kern w:val="2"/>
                <w:szCs w:val="22"/>
                <w:lang w:eastAsia="en-US"/>
                <w14:ligatures w14:val="standardContextual"/>
              </w:rPr>
              <w:t>Map19 Exhibition</w:t>
            </w:r>
          </w:p>
        </w:tc>
        <w:tc>
          <w:tcPr>
            <w:tcW w:w="1645" w:type="dxa"/>
            <w:tcBorders>
              <w:top w:val="single" w:sz="4" w:space="0" w:color="auto"/>
              <w:left w:val="single" w:sz="4" w:space="0" w:color="auto"/>
              <w:bottom w:val="single" w:sz="4" w:space="0" w:color="auto"/>
              <w:right w:val="single" w:sz="4" w:space="0" w:color="auto"/>
            </w:tcBorders>
          </w:tcPr>
          <w:p w14:paraId="5D626CF9" w14:textId="056B4CA9" w:rsidR="002E14A8" w:rsidRPr="00D86500" w:rsidRDefault="002E14A8">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Refer to details in this report</w:t>
            </w:r>
          </w:p>
        </w:tc>
        <w:tc>
          <w:tcPr>
            <w:tcW w:w="1660" w:type="dxa"/>
            <w:tcBorders>
              <w:top w:val="single" w:sz="4" w:space="0" w:color="auto"/>
              <w:left w:val="single" w:sz="4" w:space="0" w:color="auto"/>
              <w:bottom w:val="single" w:sz="4" w:space="0" w:color="auto"/>
              <w:right w:val="single" w:sz="4" w:space="0" w:color="auto"/>
            </w:tcBorders>
          </w:tcPr>
          <w:p w14:paraId="23FB77D5" w14:textId="35734719" w:rsidR="002E14A8" w:rsidRPr="00D86500" w:rsidRDefault="002E14A8">
            <w:pPr>
              <w:pStyle w:val="Tabletext"/>
              <w:spacing w:line="276" w:lineRule="auto"/>
              <w:ind w:right="32"/>
              <w:rPr>
                <w:rFonts w:cs="Arial"/>
                <w:color w:val="000000" w:themeColor="text1"/>
                <w:kern w:val="2"/>
                <w:szCs w:val="22"/>
                <w:lang w:eastAsia="en-US"/>
                <w14:ligatures w14:val="standardContextual"/>
              </w:rPr>
            </w:pPr>
            <w:r>
              <w:rPr>
                <w:rFonts w:cs="Arial"/>
                <w:color w:val="000000" w:themeColor="text1"/>
                <w:kern w:val="2"/>
                <w:szCs w:val="22"/>
                <w:lang w:eastAsia="en-US"/>
                <w14:ligatures w14:val="standardContextual"/>
              </w:rPr>
              <w:t>Refer to details in this report</w:t>
            </w:r>
          </w:p>
        </w:tc>
      </w:tr>
    </w:tbl>
    <w:p w14:paraId="65D1071A" w14:textId="77777777" w:rsidR="00DC4BE6" w:rsidRPr="00DC4BE6" w:rsidRDefault="00DC4BE6" w:rsidP="00B371A7"/>
    <w:sectPr w:rsidR="00DC4BE6" w:rsidRPr="00DC4BE6">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4336D" w14:textId="77777777" w:rsidR="00900779" w:rsidRDefault="00900779" w:rsidP="007E77A2">
      <w:pPr>
        <w:spacing w:before="0" w:after="0" w:line="240" w:lineRule="auto"/>
      </w:pPr>
      <w:r>
        <w:separator/>
      </w:r>
    </w:p>
  </w:endnote>
  <w:endnote w:type="continuationSeparator" w:id="0">
    <w:p w14:paraId="6792C6D7" w14:textId="77777777" w:rsidR="00900779" w:rsidRDefault="00900779" w:rsidP="007E77A2">
      <w:pPr>
        <w:spacing w:before="0" w:after="0" w:line="240" w:lineRule="auto"/>
      </w:pPr>
      <w:r>
        <w:continuationSeparator/>
      </w:r>
    </w:p>
  </w:endnote>
  <w:endnote w:type="continuationNotice" w:id="1">
    <w:p w14:paraId="195E3515" w14:textId="77777777" w:rsidR="00900779" w:rsidRDefault="0090077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9AB88" w14:textId="3131EBF2" w:rsidR="00A46FEF" w:rsidRDefault="0087341D">
    <w:pPr>
      <w:pStyle w:val="Footer"/>
    </w:pPr>
    <w:r>
      <w:rPr>
        <w:noProof/>
        <w14:ligatures w14:val="standardContextual"/>
      </w:rPr>
      <mc:AlternateContent>
        <mc:Choice Requires="wps">
          <w:drawing>
            <wp:anchor distT="0" distB="0" distL="114300" distR="114300" simplePos="0" relativeHeight="251658240" behindDoc="0" locked="0" layoutInCell="0" allowOverlap="1" wp14:anchorId="63356081" wp14:editId="529BE169">
              <wp:simplePos x="0" y="0"/>
              <wp:positionH relativeFrom="page">
                <wp:posOffset>0</wp:posOffset>
              </wp:positionH>
              <wp:positionV relativeFrom="page">
                <wp:posOffset>10227945</wp:posOffset>
              </wp:positionV>
              <wp:extent cx="7560310" cy="273050"/>
              <wp:effectExtent l="0" t="0" r="0" b="12700"/>
              <wp:wrapNone/>
              <wp:docPr id="3" name="Text Box 3" descr="{&quot;HashCode&quot;:90843954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3B0CA1" w14:textId="7D18959E" w:rsidR="0087341D" w:rsidRPr="0087341D" w:rsidRDefault="0087341D" w:rsidP="0087341D">
                          <w:pPr>
                            <w:spacing w:before="0" w:after="0"/>
                            <w:jc w:val="center"/>
                            <w:rPr>
                              <w:rFonts w:ascii="Calibri" w:hAnsi="Calibri" w:cs="Calibri"/>
                              <w:color w:val="00000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356081" id="_x0000_t202" coordsize="21600,21600" o:spt="202" path="m,l,21600r21600,l21600,xe">
              <v:stroke joinstyle="miter"/>
              <v:path gradientshapeok="t" o:connecttype="rect"/>
            </v:shapetype>
            <v:shape id="Text Box 3" o:spid="_x0000_s1026" type="#_x0000_t202" alt="{&quot;HashCode&quot;:908439540,&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2B3B0CA1" w14:textId="7D18959E" w:rsidR="0087341D" w:rsidRPr="0087341D" w:rsidRDefault="0087341D" w:rsidP="0087341D">
                    <w:pPr>
                      <w:spacing w:before="0" w:after="0"/>
                      <w:jc w:val="center"/>
                      <w:rPr>
                        <w:rFonts w:ascii="Calibri" w:hAnsi="Calibri" w:cs="Calibri"/>
                        <w:color w:val="00000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19EEF" w14:textId="77777777" w:rsidR="00900779" w:rsidRDefault="00900779" w:rsidP="007E77A2">
      <w:pPr>
        <w:spacing w:before="0" w:after="0" w:line="240" w:lineRule="auto"/>
      </w:pPr>
      <w:r>
        <w:separator/>
      </w:r>
    </w:p>
  </w:footnote>
  <w:footnote w:type="continuationSeparator" w:id="0">
    <w:p w14:paraId="642809E5" w14:textId="77777777" w:rsidR="00900779" w:rsidRDefault="00900779" w:rsidP="007E77A2">
      <w:pPr>
        <w:spacing w:before="0" w:after="0" w:line="240" w:lineRule="auto"/>
      </w:pPr>
      <w:r>
        <w:continuationSeparator/>
      </w:r>
    </w:p>
  </w:footnote>
  <w:footnote w:type="continuationNotice" w:id="1">
    <w:p w14:paraId="69835C94" w14:textId="77777777" w:rsidR="00900779" w:rsidRDefault="00900779">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11222EA"/>
    <w:multiLevelType w:val="hybridMultilevel"/>
    <w:tmpl w:val="6C30D0CE"/>
    <w:lvl w:ilvl="0" w:tplc="0A5A9AF4">
      <w:start w:val="1"/>
      <w:numFmt w:val="bullet"/>
      <w:pStyle w:val="Bulletlis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2A54226B"/>
    <w:multiLevelType w:val="hybridMultilevel"/>
    <w:tmpl w:val="5172F9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19B00FF"/>
    <w:multiLevelType w:val="hybridMultilevel"/>
    <w:tmpl w:val="EA1818BE"/>
    <w:lvl w:ilvl="0" w:tplc="FFFFFFFF">
      <w:start w:val="1"/>
      <w:numFmt w:val="bullet"/>
      <w:lvlText w:val=""/>
      <w:lvlJc w:val="left"/>
      <w:pPr>
        <w:ind w:left="360" w:hanging="360"/>
      </w:pPr>
      <w:rPr>
        <w:rFonts w:ascii="Symbol" w:hAnsi="Symbol" w:hint="default"/>
      </w:rPr>
    </w:lvl>
    <w:lvl w:ilvl="1" w:tplc="A874F610">
      <w:start w:val="1"/>
      <w:numFmt w:val="bullet"/>
      <w:pStyle w:val="Bullet2"/>
      <w:lvlText w:val="­"/>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580B6276"/>
    <w:multiLevelType w:val="hybridMultilevel"/>
    <w:tmpl w:val="1188E7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895503C"/>
    <w:multiLevelType w:val="hybridMultilevel"/>
    <w:tmpl w:val="870C4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79366378">
    <w:abstractNumId w:val="1"/>
  </w:num>
  <w:num w:numId="2" w16cid:durableId="1983775289">
    <w:abstractNumId w:val="3"/>
  </w:num>
  <w:num w:numId="3" w16cid:durableId="253974435">
    <w:abstractNumId w:val="0"/>
  </w:num>
  <w:num w:numId="4" w16cid:durableId="1151557707">
    <w:abstractNumId w:val="4"/>
  </w:num>
  <w:num w:numId="5" w16cid:durableId="1738476610">
    <w:abstractNumId w:val="5"/>
  </w:num>
  <w:num w:numId="6" w16cid:durableId="1272472263">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634"/>
    <w:rsid w:val="00003F1F"/>
    <w:rsid w:val="00004DF8"/>
    <w:rsid w:val="0002265F"/>
    <w:rsid w:val="00036BE9"/>
    <w:rsid w:val="00037B63"/>
    <w:rsid w:val="00040B85"/>
    <w:rsid w:val="00041AD9"/>
    <w:rsid w:val="00042EB3"/>
    <w:rsid w:val="00051AF1"/>
    <w:rsid w:val="00056378"/>
    <w:rsid w:val="000567F2"/>
    <w:rsid w:val="00057FF5"/>
    <w:rsid w:val="0006383C"/>
    <w:rsid w:val="00065DE8"/>
    <w:rsid w:val="0006653F"/>
    <w:rsid w:val="00080D7C"/>
    <w:rsid w:val="0008130F"/>
    <w:rsid w:val="00084079"/>
    <w:rsid w:val="00085F5F"/>
    <w:rsid w:val="000940D4"/>
    <w:rsid w:val="000A40BD"/>
    <w:rsid w:val="000B33C8"/>
    <w:rsid w:val="000B5919"/>
    <w:rsid w:val="000B67FA"/>
    <w:rsid w:val="000D40B7"/>
    <w:rsid w:val="000D7888"/>
    <w:rsid w:val="000E2E24"/>
    <w:rsid w:val="000E5645"/>
    <w:rsid w:val="000F7529"/>
    <w:rsid w:val="00103956"/>
    <w:rsid w:val="00107BFD"/>
    <w:rsid w:val="001101BF"/>
    <w:rsid w:val="001209CC"/>
    <w:rsid w:val="00120B4C"/>
    <w:rsid w:val="001229AE"/>
    <w:rsid w:val="00122FC6"/>
    <w:rsid w:val="0012380C"/>
    <w:rsid w:val="00125BA4"/>
    <w:rsid w:val="001270E6"/>
    <w:rsid w:val="00131D6F"/>
    <w:rsid w:val="00137746"/>
    <w:rsid w:val="00140D23"/>
    <w:rsid w:val="00144351"/>
    <w:rsid w:val="001457F6"/>
    <w:rsid w:val="00153FFE"/>
    <w:rsid w:val="0015687C"/>
    <w:rsid w:val="00161514"/>
    <w:rsid w:val="001618B2"/>
    <w:rsid w:val="00171F8B"/>
    <w:rsid w:val="001722CA"/>
    <w:rsid w:val="00182BED"/>
    <w:rsid w:val="00193BFC"/>
    <w:rsid w:val="00197A05"/>
    <w:rsid w:val="001A165D"/>
    <w:rsid w:val="001A3351"/>
    <w:rsid w:val="001A3F33"/>
    <w:rsid w:val="001B0CE4"/>
    <w:rsid w:val="001B321F"/>
    <w:rsid w:val="001C20D2"/>
    <w:rsid w:val="001C42C1"/>
    <w:rsid w:val="001C63A6"/>
    <w:rsid w:val="001C66D7"/>
    <w:rsid w:val="001D2F25"/>
    <w:rsid w:val="001D47A2"/>
    <w:rsid w:val="001E463E"/>
    <w:rsid w:val="001E6BDF"/>
    <w:rsid w:val="001F068B"/>
    <w:rsid w:val="001F1164"/>
    <w:rsid w:val="00200B39"/>
    <w:rsid w:val="00203910"/>
    <w:rsid w:val="00205569"/>
    <w:rsid w:val="00206B29"/>
    <w:rsid w:val="00210186"/>
    <w:rsid w:val="002111CE"/>
    <w:rsid w:val="002201F3"/>
    <w:rsid w:val="00224E35"/>
    <w:rsid w:val="00226924"/>
    <w:rsid w:val="00227697"/>
    <w:rsid w:val="00235465"/>
    <w:rsid w:val="002476A1"/>
    <w:rsid w:val="00250CBA"/>
    <w:rsid w:val="0026234F"/>
    <w:rsid w:val="002631D3"/>
    <w:rsid w:val="002751FE"/>
    <w:rsid w:val="0027649A"/>
    <w:rsid w:val="002802D8"/>
    <w:rsid w:val="00281912"/>
    <w:rsid w:val="00282472"/>
    <w:rsid w:val="00286F90"/>
    <w:rsid w:val="00292B87"/>
    <w:rsid w:val="002939A7"/>
    <w:rsid w:val="002A078D"/>
    <w:rsid w:val="002A0FE5"/>
    <w:rsid w:val="002A5F84"/>
    <w:rsid w:val="002B5BF6"/>
    <w:rsid w:val="002B7EF6"/>
    <w:rsid w:val="002C4BCC"/>
    <w:rsid w:val="002D26A2"/>
    <w:rsid w:val="002D39C8"/>
    <w:rsid w:val="002D4141"/>
    <w:rsid w:val="002D52DE"/>
    <w:rsid w:val="002D78D3"/>
    <w:rsid w:val="002E14A8"/>
    <w:rsid w:val="002E475F"/>
    <w:rsid w:val="002E4EA5"/>
    <w:rsid w:val="002F1023"/>
    <w:rsid w:val="002F1511"/>
    <w:rsid w:val="002F4145"/>
    <w:rsid w:val="002F625B"/>
    <w:rsid w:val="00301513"/>
    <w:rsid w:val="00302296"/>
    <w:rsid w:val="00302681"/>
    <w:rsid w:val="00302A07"/>
    <w:rsid w:val="00305A72"/>
    <w:rsid w:val="00311CFA"/>
    <w:rsid w:val="00312351"/>
    <w:rsid w:val="003206ED"/>
    <w:rsid w:val="00321BE0"/>
    <w:rsid w:val="00322595"/>
    <w:rsid w:val="0032271C"/>
    <w:rsid w:val="00323132"/>
    <w:rsid w:val="00323518"/>
    <w:rsid w:val="0033100A"/>
    <w:rsid w:val="00340A96"/>
    <w:rsid w:val="00342081"/>
    <w:rsid w:val="00342F0D"/>
    <w:rsid w:val="0034602D"/>
    <w:rsid w:val="0034769A"/>
    <w:rsid w:val="00351E58"/>
    <w:rsid w:val="003520A0"/>
    <w:rsid w:val="0035557B"/>
    <w:rsid w:val="003556FD"/>
    <w:rsid w:val="003619B4"/>
    <w:rsid w:val="00364DAA"/>
    <w:rsid w:val="003651E8"/>
    <w:rsid w:val="003664F6"/>
    <w:rsid w:val="003740CF"/>
    <w:rsid w:val="003752AA"/>
    <w:rsid w:val="00386E25"/>
    <w:rsid w:val="00393A7F"/>
    <w:rsid w:val="003A27CF"/>
    <w:rsid w:val="003A4991"/>
    <w:rsid w:val="003A4F87"/>
    <w:rsid w:val="003A5CC2"/>
    <w:rsid w:val="003B457A"/>
    <w:rsid w:val="003B53E7"/>
    <w:rsid w:val="003B71DD"/>
    <w:rsid w:val="003B721A"/>
    <w:rsid w:val="003C46D7"/>
    <w:rsid w:val="003C6321"/>
    <w:rsid w:val="003D5F47"/>
    <w:rsid w:val="003D621E"/>
    <w:rsid w:val="003E4AE3"/>
    <w:rsid w:val="003E6829"/>
    <w:rsid w:val="003E70BB"/>
    <w:rsid w:val="003F056E"/>
    <w:rsid w:val="003F17BB"/>
    <w:rsid w:val="003F6CB6"/>
    <w:rsid w:val="003F72DB"/>
    <w:rsid w:val="00400A8F"/>
    <w:rsid w:val="0040294F"/>
    <w:rsid w:val="004033FF"/>
    <w:rsid w:val="00404F5F"/>
    <w:rsid w:val="00405562"/>
    <w:rsid w:val="00412F97"/>
    <w:rsid w:val="00415C68"/>
    <w:rsid w:val="00416834"/>
    <w:rsid w:val="004169EB"/>
    <w:rsid w:val="0042041C"/>
    <w:rsid w:val="0042141B"/>
    <w:rsid w:val="004220D4"/>
    <w:rsid w:val="00426FDE"/>
    <w:rsid w:val="004352FC"/>
    <w:rsid w:val="00442B3A"/>
    <w:rsid w:val="00443625"/>
    <w:rsid w:val="00445698"/>
    <w:rsid w:val="00446AA8"/>
    <w:rsid w:val="004528EE"/>
    <w:rsid w:val="00455E90"/>
    <w:rsid w:val="00456B09"/>
    <w:rsid w:val="00462F41"/>
    <w:rsid w:val="0048099A"/>
    <w:rsid w:val="004843C6"/>
    <w:rsid w:val="00491E23"/>
    <w:rsid w:val="004B038C"/>
    <w:rsid w:val="004B147B"/>
    <w:rsid w:val="004B2B22"/>
    <w:rsid w:val="004B301B"/>
    <w:rsid w:val="004C46BC"/>
    <w:rsid w:val="004C6A6A"/>
    <w:rsid w:val="004D2E70"/>
    <w:rsid w:val="004D6F7D"/>
    <w:rsid w:val="004E2176"/>
    <w:rsid w:val="004F20D3"/>
    <w:rsid w:val="004F2B44"/>
    <w:rsid w:val="004F3CFB"/>
    <w:rsid w:val="004F434F"/>
    <w:rsid w:val="004F5E86"/>
    <w:rsid w:val="004F6804"/>
    <w:rsid w:val="004F7BEF"/>
    <w:rsid w:val="00501135"/>
    <w:rsid w:val="005028F7"/>
    <w:rsid w:val="00502ACB"/>
    <w:rsid w:val="005052EF"/>
    <w:rsid w:val="005058E0"/>
    <w:rsid w:val="00512E71"/>
    <w:rsid w:val="00513D37"/>
    <w:rsid w:val="00520CDE"/>
    <w:rsid w:val="00532AC8"/>
    <w:rsid w:val="005331F5"/>
    <w:rsid w:val="00534B31"/>
    <w:rsid w:val="0053738C"/>
    <w:rsid w:val="00537CCD"/>
    <w:rsid w:val="00540CBE"/>
    <w:rsid w:val="00545F0A"/>
    <w:rsid w:val="00546F39"/>
    <w:rsid w:val="00551C1C"/>
    <w:rsid w:val="00554958"/>
    <w:rsid w:val="00556F41"/>
    <w:rsid w:val="00570843"/>
    <w:rsid w:val="00574244"/>
    <w:rsid w:val="00574DED"/>
    <w:rsid w:val="00583742"/>
    <w:rsid w:val="00585B0A"/>
    <w:rsid w:val="00585E60"/>
    <w:rsid w:val="00590041"/>
    <w:rsid w:val="00590F1E"/>
    <w:rsid w:val="005930E0"/>
    <w:rsid w:val="00594AE8"/>
    <w:rsid w:val="0059611A"/>
    <w:rsid w:val="005A35D1"/>
    <w:rsid w:val="005A6A49"/>
    <w:rsid w:val="005B5098"/>
    <w:rsid w:val="005C0410"/>
    <w:rsid w:val="005D0AD8"/>
    <w:rsid w:val="005D43BF"/>
    <w:rsid w:val="005D773F"/>
    <w:rsid w:val="005E121F"/>
    <w:rsid w:val="005E3A43"/>
    <w:rsid w:val="005E3C75"/>
    <w:rsid w:val="005E5608"/>
    <w:rsid w:val="005E5634"/>
    <w:rsid w:val="005E7AEC"/>
    <w:rsid w:val="005F15D9"/>
    <w:rsid w:val="005F274A"/>
    <w:rsid w:val="005F3537"/>
    <w:rsid w:val="005F62BA"/>
    <w:rsid w:val="00600835"/>
    <w:rsid w:val="0060785B"/>
    <w:rsid w:val="0061117E"/>
    <w:rsid w:val="00622700"/>
    <w:rsid w:val="006236BE"/>
    <w:rsid w:val="006264D5"/>
    <w:rsid w:val="00630D59"/>
    <w:rsid w:val="00632CDE"/>
    <w:rsid w:val="006533E1"/>
    <w:rsid w:val="00666453"/>
    <w:rsid w:val="00666632"/>
    <w:rsid w:val="006716BA"/>
    <w:rsid w:val="00691EC2"/>
    <w:rsid w:val="00694CDB"/>
    <w:rsid w:val="006959D8"/>
    <w:rsid w:val="00696E68"/>
    <w:rsid w:val="0069743D"/>
    <w:rsid w:val="006A19B5"/>
    <w:rsid w:val="006A2182"/>
    <w:rsid w:val="006A3E6F"/>
    <w:rsid w:val="006B3B36"/>
    <w:rsid w:val="006B45C2"/>
    <w:rsid w:val="006B7405"/>
    <w:rsid w:val="006B796A"/>
    <w:rsid w:val="006C1784"/>
    <w:rsid w:val="006C471D"/>
    <w:rsid w:val="006D10AA"/>
    <w:rsid w:val="006E3963"/>
    <w:rsid w:val="006E44E6"/>
    <w:rsid w:val="006F229C"/>
    <w:rsid w:val="006F34D1"/>
    <w:rsid w:val="006F7603"/>
    <w:rsid w:val="00702454"/>
    <w:rsid w:val="00707D3E"/>
    <w:rsid w:val="007102CC"/>
    <w:rsid w:val="00715CC7"/>
    <w:rsid w:val="00715DF6"/>
    <w:rsid w:val="007323FA"/>
    <w:rsid w:val="00734E92"/>
    <w:rsid w:val="00735872"/>
    <w:rsid w:val="00742012"/>
    <w:rsid w:val="007531F9"/>
    <w:rsid w:val="007572DA"/>
    <w:rsid w:val="0076033C"/>
    <w:rsid w:val="00762331"/>
    <w:rsid w:val="0076691A"/>
    <w:rsid w:val="007670A1"/>
    <w:rsid w:val="0077154A"/>
    <w:rsid w:val="00772C5F"/>
    <w:rsid w:val="00773528"/>
    <w:rsid w:val="00773E26"/>
    <w:rsid w:val="00774A8C"/>
    <w:rsid w:val="00777F0F"/>
    <w:rsid w:val="0079068B"/>
    <w:rsid w:val="00793810"/>
    <w:rsid w:val="00793B3C"/>
    <w:rsid w:val="007A07F2"/>
    <w:rsid w:val="007A12E8"/>
    <w:rsid w:val="007B0A1C"/>
    <w:rsid w:val="007B1AB9"/>
    <w:rsid w:val="007B5E05"/>
    <w:rsid w:val="007B7D4F"/>
    <w:rsid w:val="007C02F6"/>
    <w:rsid w:val="007C0544"/>
    <w:rsid w:val="007C0652"/>
    <w:rsid w:val="007C59D7"/>
    <w:rsid w:val="007C70C9"/>
    <w:rsid w:val="007D0137"/>
    <w:rsid w:val="007E6F44"/>
    <w:rsid w:val="007E72D0"/>
    <w:rsid w:val="007E77A2"/>
    <w:rsid w:val="007F1BEA"/>
    <w:rsid w:val="00801F10"/>
    <w:rsid w:val="00803A6F"/>
    <w:rsid w:val="0080430B"/>
    <w:rsid w:val="00811151"/>
    <w:rsid w:val="00821725"/>
    <w:rsid w:val="00821CD7"/>
    <w:rsid w:val="00825B0C"/>
    <w:rsid w:val="00835059"/>
    <w:rsid w:val="008379F8"/>
    <w:rsid w:val="00840866"/>
    <w:rsid w:val="00844E4D"/>
    <w:rsid w:val="00844FDC"/>
    <w:rsid w:val="008522F7"/>
    <w:rsid w:val="00857F6C"/>
    <w:rsid w:val="008662F3"/>
    <w:rsid w:val="00870533"/>
    <w:rsid w:val="00871513"/>
    <w:rsid w:val="0087341D"/>
    <w:rsid w:val="008845B2"/>
    <w:rsid w:val="00884813"/>
    <w:rsid w:val="00891298"/>
    <w:rsid w:val="00891F75"/>
    <w:rsid w:val="00892F7E"/>
    <w:rsid w:val="008A1222"/>
    <w:rsid w:val="008A2F2D"/>
    <w:rsid w:val="008A5E9D"/>
    <w:rsid w:val="008B2B41"/>
    <w:rsid w:val="008B5CD8"/>
    <w:rsid w:val="008C0E5E"/>
    <w:rsid w:val="008C6522"/>
    <w:rsid w:val="008D454B"/>
    <w:rsid w:val="008D459A"/>
    <w:rsid w:val="008D4F63"/>
    <w:rsid w:val="008E2B93"/>
    <w:rsid w:val="008E3F15"/>
    <w:rsid w:val="008F3560"/>
    <w:rsid w:val="008F435C"/>
    <w:rsid w:val="008F46F1"/>
    <w:rsid w:val="00900779"/>
    <w:rsid w:val="009020A9"/>
    <w:rsid w:val="009021E5"/>
    <w:rsid w:val="00906B89"/>
    <w:rsid w:val="009079B2"/>
    <w:rsid w:val="00907DFF"/>
    <w:rsid w:val="00913BF2"/>
    <w:rsid w:val="00923BF3"/>
    <w:rsid w:val="00926418"/>
    <w:rsid w:val="00930018"/>
    <w:rsid w:val="00934FA7"/>
    <w:rsid w:val="00935829"/>
    <w:rsid w:val="009564F6"/>
    <w:rsid w:val="00961E51"/>
    <w:rsid w:val="009637CE"/>
    <w:rsid w:val="009700A1"/>
    <w:rsid w:val="009710CB"/>
    <w:rsid w:val="009718BD"/>
    <w:rsid w:val="00974C6A"/>
    <w:rsid w:val="00976B62"/>
    <w:rsid w:val="00982E52"/>
    <w:rsid w:val="0098395D"/>
    <w:rsid w:val="0098665E"/>
    <w:rsid w:val="00987026"/>
    <w:rsid w:val="009908C9"/>
    <w:rsid w:val="00991D04"/>
    <w:rsid w:val="009920CC"/>
    <w:rsid w:val="0099310C"/>
    <w:rsid w:val="00993E1D"/>
    <w:rsid w:val="009959C3"/>
    <w:rsid w:val="009A4561"/>
    <w:rsid w:val="009A5E8A"/>
    <w:rsid w:val="009A6124"/>
    <w:rsid w:val="009A7BF4"/>
    <w:rsid w:val="009B0648"/>
    <w:rsid w:val="009C0EC3"/>
    <w:rsid w:val="009C55CB"/>
    <w:rsid w:val="009D2A81"/>
    <w:rsid w:val="009D2C11"/>
    <w:rsid w:val="009D7CED"/>
    <w:rsid w:val="009E285A"/>
    <w:rsid w:val="009F1201"/>
    <w:rsid w:val="009F3874"/>
    <w:rsid w:val="009F57CE"/>
    <w:rsid w:val="00A03743"/>
    <w:rsid w:val="00A066B6"/>
    <w:rsid w:val="00A13B9E"/>
    <w:rsid w:val="00A15C2E"/>
    <w:rsid w:val="00A22CC0"/>
    <w:rsid w:val="00A2317C"/>
    <w:rsid w:val="00A24A2A"/>
    <w:rsid w:val="00A34A17"/>
    <w:rsid w:val="00A37979"/>
    <w:rsid w:val="00A42A21"/>
    <w:rsid w:val="00A4311E"/>
    <w:rsid w:val="00A46FEF"/>
    <w:rsid w:val="00A51797"/>
    <w:rsid w:val="00A54068"/>
    <w:rsid w:val="00A55430"/>
    <w:rsid w:val="00A5596C"/>
    <w:rsid w:val="00A81266"/>
    <w:rsid w:val="00A81318"/>
    <w:rsid w:val="00A8754F"/>
    <w:rsid w:val="00A921C1"/>
    <w:rsid w:val="00A93051"/>
    <w:rsid w:val="00AA2DAD"/>
    <w:rsid w:val="00AA35A0"/>
    <w:rsid w:val="00AB00C5"/>
    <w:rsid w:val="00AB4FC0"/>
    <w:rsid w:val="00AB541E"/>
    <w:rsid w:val="00AC3A71"/>
    <w:rsid w:val="00AC3B9F"/>
    <w:rsid w:val="00AC63EF"/>
    <w:rsid w:val="00AD3348"/>
    <w:rsid w:val="00AD4BB2"/>
    <w:rsid w:val="00AE23B6"/>
    <w:rsid w:val="00AE27C4"/>
    <w:rsid w:val="00AE5AE2"/>
    <w:rsid w:val="00AF1B7E"/>
    <w:rsid w:val="00AF3C62"/>
    <w:rsid w:val="00AF4257"/>
    <w:rsid w:val="00B00044"/>
    <w:rsid w:val="00B02250"/>
    <w:rsid w:val="00B05D60"/>
    <w:rsid w:val="00B12520"/>
    <w:rsid w:val="00B21D5F"/>
    <w:rsid w:val="00B22172"/>
    <w:rsid w:val="00B22863"/>
    <w:rsid w:val="00B252F0"/>
    <w:rsid w:val="00B268AA"/>
    <w:rsid w:val="00B27AF1"/>
    <w:rsid w:val="00B32467"/>
    <w:rsid w:val="00B32747"/>
    <w:rsid w:val="00B3637C"/>
    <w:rsid w:val="00B371A7"/>
    <w:rsid w:val="00B42457"/>
    <w:rsid w:val="00B52F23"/>
    <w:rsid w:val="00B5427B"/>
    <w:rsid w:val="00B55A7A"/>
    <w:rsid w:val="00B6307D"/>
    <w:rsid w:val="00B709D8"/>
    <w:rsid w:val="00B73141"/>
    <w:rsid w:val="00B77D0F"/>
    <w:rsid w:val="00BA149F"/>
    <w:rsid w:val="00BA1D57"/>
    <w:rsid w:val="00BA2019"/>
    <w:rsid w:val="00BA68DA"/>
    <w:rsid w:val="00BB12CC"/>
    <w:rsid w:val="00BB6623"/>
    <w:rsid w:val="00BC4454"/>
    <w:rsid w:val="00BC5964"/>
    <w:rsid w:val="00BC78AF"/>
    <w:rsid w:val="00BD0E61"/>
    <w:rsid w:val="00BD25AB"/>
    <w:rsid w:val="00BD5782"/>
    <w:rsid w:val="00BD67B7"/>
    <w:rsid w:val="00BE347E"/>
    <w:rsid w:val="00BF1DA1"/>
    <w:rsid w:val="00C00392"/>
    <w:rsid w:val="00C02DF1"/>
    <w:rsid w:val="00C036A4"/>
    <w:rsid w:val="00C1757C"/>
    <w:rsid w:val="00C21F42"/>
    <w:rsid w:val="00C26006"/>
    <w:rsid w:val="00C32CEE"/>
    <w:rsid w:val="00C35DE3"/>
    <w:rsid w:val="00C4199B"/>
    <w:rsid w:val="00C41E9A"/>
    <w:rsid w:val="00C4467B"/>
    <w:rsid w:val="00C54897"/>
    <w:rsid w:val="00C565D3"/>
    <w:rsid w:val="00C570CE"/>
    <w:rsid w:val="00C61946"/>
    <w:rsid w:val="00C62530"/>
    <w:rsid w:val="00C65D13"/>
    <w:rsid w:val="00C753B3"/>
    <w:rsid w:val="00C766F3"/>
    <w:rsid w:val="00C83E63"/>
    <w:rsid w:val="00C84944"/>
    <w:rsid w:val="00C9046B"/>
    <w:rsid w:val="00C951FC"/>
    <w:rsid w:val="00C9771E"/>
    <w:rsid w:val="00CA3292"/>
    <w:rsid w:val="00CA7B49"/>
    <w:rsid w:val="00CB1BA0"/>
    <w:rsid w:val="00CB64B3"/>
    <w:rsid w:val="00CD038B"/>
    <w:rsid w:val="00CD10E4"/>
    <w:rsid w:val="00CD2098"/>
    <w:rsid w:val="00CD4A44"/>
    <w:rsid w:val="00CE1B03"/>
    <w:rsid w:val="00CE2316"/>
    <w:rsid w:val="00CF2558"/>
    <w:rsid w:val="00CF6DE8"/>
    <w:rsid w:val="00CF700B"/>
    <w:rsid w:val="00D00235"/>
    <w:rsid w:val="00D0206F"/>
    <w:rsid w:val="00D03EAC"/>
    <w:rsid w:val="00D16E1D"/>
    <w:rsid w:val="00D23B30"/>
    <w:rsid w:val="00D260E3"/>
    <w:rsid w:val="00D3008E"/>
    <w:rsid w:val="00D30631"/>
    <w:rsid w:val="00D31183"/>
    <w:rsid w:val="00D3138D"/>
    <w:rsid w:val="00D32F51"/>
    <w:rsid w:val="00D423BA"/>
    <w:rsid w:val="00D45228"/>
    <w:rsid w:val="00D5474D"/>
    <w:rsid w:val="00D60865"/>
    <w:rsid w:val="00D63C7B"/>
    <w:rsid w:val="00D6560F"/>
    <w:rsid w:val="00D668E4"/>
    <w:rsid w:val="00D66CCA"/>
    <w:rsid w:val="00D67030"/>
    <w:rsid w:val="00D7281E"/>
    <w:rsid w:val="00D818E7"/>
    <w:rsid w:val="00D86500"/>
    <w:rsid w:val="00D91BC3"/>
    <w:rsid w:val="00D92EBB"/>
    <w:rsid w:val="00D93726"/>
    <w:rsid w:val="00D93771"/>
    <w:rsid w:val="00D95DE5"/>
    <w:rsid w:val="00D97FCC"/>
    <w:rsid w:val="00DA50BC"/>
    <w:rsid w:val="00DA565B"/>
    <w:rsid w:val="00DA7ED4"/>
    <w:rsid w:val="00DB121E"/>
    <w:rsid w:val="00DB30BE"/>
    <w:rsid w:val="00DB62EF"/>
    <w:rsid w:val="00DC4BE6"/>
    <w:rsid w:val="00DD3680"/>
    <w:rsid w:val="00DD7604"/>
    <w:rsid w:val="00DE17C1"/>
    <w:rsid w:val="00DE4F6B"/>
    <w:rsid w:val="00DE66AA"/>
    <w:rsid w:val="00DF69BE"/>
    <w:rsid w:val="00E00903"/>
    <w:rsid w:val="00E07D04"/>
    <w:rsid w:val="00E10951"/>
    <w:rsid w:val="00E122FE"/>
    <w:rsid w:val="00E1295A"/>
    <w:rsid w:val="00E144D7"/>
    <w:rsid w:val="00E1471F"/>
    <w:rsid w:val="00E16B69"/>
    <w:rsid w:val="00E16CE9"/>
    <w:rsid w:val="00E213C5"/>
    <w:rsid w:val="00E21BFF"/>
    <w:rsid w:val="00E21DD6"/>
    <w:rsid w:val="00E2500B"/>
    <w:rsid w:val="00E27657"/>
    <w:rsid w:val="00E315F1"/>
    <w:rsid w:val="00E36B3F"/>
    <w:rsid w:val="00E4699A"/>
    <w:rsid w:val="00E47715"/>
    <w:rsid w:val="00E5554B"/>
    <w:rsid w:val="00E55E00"/>
    <w:rsid w:val="00E71EBA"/>
    <w:rsid w:val="00E72029"/>
    <w:rsid w:val="00E77DAB"/>
    <w:rsid w:val="00E8028C"/>
    <w:rsid w:val="00E81889"/>
    <w:rsid w:val="00E8249A"/>
    <w:rsid w:val="00E92E98"/>
    <w:rsid w:val="00E93AF6"/>
    <w:rsid w:val="00E9744C"/>
    <w:rsid w:val="00EA00C7"/>
    <w:rsid w:val="00EA0A2E"/>
    <w:rsid w:val="00EA3F7D"/>
    <w:rsid w:val="00EA42D7"/>
    <w:rsid w:val="00EB4A22"/>
    <w:rsid w:val="00ED2362"/>
    <w:rsid w:val="00ED45C5"/>
    <w:rsid w:val="00EF102B"/>
    <w:rsid w:val="00EF11AA"/>
    <w:rsid w:val="00EF3A31"/>
    <w:rsid w:val="00F00FDF"/>
    <w:rsid w:val="00F042B3"/>
    <w:rsid w:val="00F06584"/>
    <w:rsid w:val="00F10990"/>
    <w:rsid w:val="00F12C72"/>
    <w:rsid w:val="00F21572"/>
    <w:rsid w:val="00F221FA"/>
    <w:rsid w:val="00F462AF"/>
    <w:rsid w:val="00F470F9"/>
    <w:rsid w:val="00F60401"/>
    <w:rsid w:val="00F62540"/>
    <w:rsid w:val="00F62666"/>
    <w:rsid w:val="00F63F11"/>
    <w:rsid w:val="00F64A04"/>
    <w:rsid w:val="00F741A5"/>
    <w:rsid w:val="00F830ED"/>
    <w:rsid w:val="00F84FD8"/>
    <w:rsid w:val="00F863AD"/>
    <w:rsid w:val="00F919B5"/>
    <w:rsid w:val="00F95C24"/>
    <w:rsid w:val="00F978DF"/>
    <w:rsid w:val="00FA40AD"/>
    <w:rsid w:val="00FA7A10"/>
    <w:rsid w:val="00FB0B2B"/>
    <w:rsid w:val="00FB443F"/>
    <w:rsid w:val="00FC0348"/>
    <w:rsid w:val="00FC247F"/>
    <w:rsid w:val="00FE0160"/>
    <w:rsid w:val="00FE35C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DCD1"/>
  <w15:chartTrackingRefBased/>
  <w15:docId w15:val="{0B4A7000-4205-4116-B097-FCE0FA324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entury Gothic" w:hAnsiTheme="minorHAnsi" w:cstheme="minorBidi"/>
        <w:kern w:val="2"/>
        <w:sz w:val="22"/>
        <w:szCs w:val="22"/>
        <w:lang w:val="en-AU"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lsdException w:name="heading 6"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A22"/>
    <w:pPr>
      <w:widowControl w:val="0"/>
      <w:autoSpaceDE w:val="0"/>
      <w:autoSpaceDN w:val="0"/>
      <w:spacing w:before="120" w:after="120"/>
    </w:pPr>
    <w:rPr>
      <w:rFonts w:ascii="Arial" w:hAnsi="Arial" w:cs="Century Gothic"/>
      <w:kern w:val="0"/>
      <w:sz w:val="24"/>
      <w:lang w:eastAsia="en-AU" w:bidi="en-AU"/>
      <w14:ligatures w14:val="none"/>
    </w:rPr>
  </w:style>
  <w:style w:type="paragraph" w:styleId="Heading1">
    <w:name w:val="heading 1"/>
    <w:basedOn w:val="Normal"/>
    <w:next w:val="Normal"/>
    <w:link w:val="Heading1Char"/>
    <w:uiPriority w:val="1"/>
    <w:qFormat/>
    <w:rsid w:val="00DB62EF"/>
    <w:pPr>
      <w:spacing w:before="240" w:after="240"/>
      <w:outlineLvl w:val="0"/>
    </w:pPr>
    <w:rPr>
      <w:b/>
      <w:bCs/>
      <w:sz w:val="36"/>
      <w:szCs w:val="28"/>
    </w:rPr>
  </w:style>
  <w:style w:type="paragraph" w:styleId="Heading2">
    <w:name w:val="heading 2"/>
    <w:basedOn w:val="Normal"/>
    <w:next w:val="Normal"/>
    <w:link w:val="Heading2Char"/>
    <w:uiPriority w:val="1"/>
    <w:unhideWhenUsed/>
    <w:qFormat/>
    <w:rsid w:val="007E77A2"/>
    <w:pPr>
      <w:spacing w:before="360" w:after="360"/>
      <w:outlineLvl w:val="1"/>
    </w:pPr>
    <w:rPr>
      <w:b/>
      <w:bCs/>
      <w:sz w:val="32"/>
    </w:rPr>
  </w:style>
  <w:style w:type="paragraph" w:styleId="Heading3">
    <w:name w:val="heading 3"/>
    <w:basedOn w:val="Normal"/>
    <w:next w:val="Normal"/>
    <w:link w:val="Heading3Char"/>
    <w:uiPriority w:val="1"/>
    <w:unhideWhenUsed/>
    <w:qFormat/>
    <w:rsid w:val="00DB62EF"/>
    <w:pPr>
      <w:spacing w:before="240"/>
      <w:outlineLvl w:val="2"/>
    </w:pPr>
    <w:rPr>
      <w:b/>
      <w:bCs/>
      <w:sz w:val="28"/>
    </w:rPr>
  </w:style>
  <w:style w:type="paragraph" w:styleId="Heading4">
    <w:name w:val="heading 4"/>
    <w:basedOn w:val="Heading3"/>
    <w:next w:val="Normal"/>
    <w:link w:val="Heading4Char"/>
    <w:uiPriority w:val="1"/>
    <w:unhideWhenUsed/>
    <w:qFormat/>
    <w:rsid w:val="00DB62EF"/>
    <w:pPr>
      <w:spacing w:before="120"/>
      <w:outlineLvl w:val="3"/>
    </w:pPr>
    <w:rPr>
      <w:bCs w:val="0"/>
      <w:iCs/>
      <w:sz w:val="26"/>
    </w:rPr>
  </w:style>
  <w:style w:type="paragraph" w:styleId="Heading5">
    <w:name w:val="heading 5"/>
    <w:basedOn w:val="Normal"/>
    <w:next w:val="Normal"/>
    <w:link w:val="Heading5Char"/>
    <w:uiPriority w:val="1"/>
    <w:rsid w:val="00DB62EF"/>
    <w:pPr>
      <w:keepNext/>
      <w:keepLines/>
      <w:outlineLvl w:val="4"/>
    </w:pPr>
    <w:rPr>
      <w:rFonts w:eastAsiaTheme="majorEastAsia" w:cstheme="majorBidi"/>
      <w:b/>
    </w:rPr>
  </w:style>
  <w:style w:type="paragraph" w:styleId="Heading6">
    <w:name w:val="heading 6"/>
    <w:basedOn w:val="Normal"/>
    <w:next w:val="Normal"/>
    <w:link w:val="Heading6Char"/>
    <w:uiPriority w:val="1"/>
    <w:qFormat/>
    <w:rsid w:val="00F741A5"/>
    <w:pPr>
      <w:keepNext/>
      <w:keepLines/>
      <w:outlineLvl w:val="5"/>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F741A5"/>
    <w:rPr>
      <w:rFonts w:ascii="Arial" w:hAnsi="Arial" w:cs="Century Gothic"/>
      <w:b/>
      <w:bCs/>
      <w:kern w:val="0"/>
      <w:sz w:val="36"/>
      <w:szCs w:val="28"/>
      <w:lang w:eastAsia="en-AU" w:bidi="en-AU"/>
      <w14:ligatures w14:val="none"/>
    </w:rPr>
  </w:style>
  <w:style w:type="paragraph" w:customStyle="1" w:styleId="Bullet2">
    <w:name w:val="Bullet 2"/>
    <w:basedOn w:val="Normal"/>
    <w:uiPriority w:val="4"/>
    <w:rsid w:val="00F741A5"/>
    <w:pPr>
      <w:numPr>
        <w:ilvl w:val="1"/>
        <w:numId w:val="2"/>
      </w:numPr>
    </w:pPr>
  </w:style>
  <w:style w:type="paragraph" w:styleId="Quote">
    <w:name w:val="Quote"/>
    <w:aliases w:val="ACT"/>
    <w:basedOn w:val="Normal"/>
    <w:next w:val="Normal"/>
    <w:link w:val="QuoteChar"/>
    <w:uiPriority w:val="29"/>
    <w:qFormat/>
    <w:rsid w:val="00F741A5"/>
    <w:rPr>
      <w:i/>
      <w:iCs/>
    </w:rPr>
  </w:style>
  <w:style w:type="character" w:customStyle="1" w:styleId="QuoteChar">
    <w:name w:val="Quote Char"/>
    <w:aliases w:val="ACT Char"/>
    <w:basedOn w:val="DefaultParagraphFont"/>
    <w:link w:val="Quote"/>
    <w:uiPriority w:val="29"/>
    <w:rsid w:val="00F741A5"/>
    <w:rPr>
      <w:rFonts w:ascii="Arial" w:hAnsi="Arial" w:cs="Century Gothic"/>
      <w:i/>
      <w:iCs/>
      <w:kern w:val="0"/>
      <w:sz w:val="24"/>
      <w:lang w:eastAsia="en-AU" w:bidi="en-AU"/>
      <w14:ligatures w14:val="none"/>
    </w:rPr>
  </w:style>
  <w:style w:type="character" w:customStyle="1" w:styleId="Heading2Char">
    <w:name w:val="Heading 2 Char"/>
    <w:basedOn w:val="DefaultParagraphFont"/>
    <w:link w:val="Heading2"/>
    <w:uiPriority w:val="1"/>
    <w:rsid w:val="007E77A2"/>
    <w:rPr>
      <w:rFonts w:ascii="Arial" w:hAnsi="Arial" w:cs="Century Gothic"/>
      <w:b/>
      <w:bCs/>
      <w:kern w:val="0"/>
      <w:sz w:val="32"/>
      <w:lang w:eastAsia="en-AU" w:bidi="en-AU"/>
      <w14:ligatures w14:val="none"/>
    </w:rPr>
  </w:style>
  <w:style w:type="character" w:customStyle="1" w:styleId="Heading3Char">
    <w:name w:val="Heading 3 Char"/>
    <w:basedOn w:val="DefaultParagraphFont"/>
    <w:link w:val="Heading3"/>
    <w:uiPriority w:val="1"/>
    <w:rsid w:val="00F741A5"/>
    <w:rPr>
      <w:rFonts w:ascii="Arial" w:hAnsi="Arial" w:cs="Century Gothic"/>
      <w:b/>
      <w:bCs/>
      <w:kern w:val="0"/>
      <w:sz w:val="28"/>
      <w:lang w:eastAsia="en-AU" w:bidi="en-AU"/>
      <w14:ligatures w14:val="none"/>
    </w:rPr>
  </w:style>
  <w:style w:type="character" w:styleId="Hyperlink">
    <w:name w:val="Hyperlink"/>
    <w:basedOn w:val="DefaultParagraphFont"/>
    <w:uiPriority w:val="99"/>
    <w:unhideWhenUsed/>
    <w:qFormat/>
    <w:rsid w:val="00F741A5"/>
    <w:rPr>
      <w:rFonts w:ascii="Arial" w:hAnsi="Arial"/>
      <w:color w:val="0563C1" w:themeColor="hyperlink"/>
      <w:sz w:val="24"/>
      <w:u w:val="single"/>
    </w:rPr>
  </w:style>
  <w:style w:type="character" w:styleId="UnresolvedMention">
    <w:name w:val="Unresolved Mention"/>
    <w:basedOn w:val="DefaultParagraphFont"/>
    <w:uiPriority w:val="99"/>
    <w:semiHidden/>
    <w:unhideWhenUsed/>
    <w:rsid w:val="00EA0A2E"/>
    <w:rPr>
      <w:color w:val="605E5C"/>
      <w:shd w:val="clear" w:color="auto" w:fill="E1DFDD"/>
    </w:rPr>
  </w:style>
  <w:style w:type="character" w:styleId="FollowedHyperlink">
    <w:name w:val="FollowedHyperlink"/>
    <w:basedOn w:val="DefaultParagraphFont"/>
    <w:uiPriority w:val="99"/>
    <w:semiHidden/>
    <w:unhideWhenUsed/>
    <w:rsid w:val="00B77D0F"/>
    <w:rPr>
      <w:color w:val="954F72" w:themeColor="followedHyperlink"/>
      <w:u w:val="single"/>
    </w:rPr>
  </w:style>
  <w:style w:type="character" w:styleId="CommentReference">
    <w:name w:val="annotation reference"/>
    <w:basedOn w:val="DefaultParagraphFont"/>
    <w:semiHidden/>
    <w:unhideWhenUsed/>
    <w:rsid w:val="00B77D0F"/>
    <w:rPr>
      <w:sz w:val="16"/>
      <w:szCs w:val="16"/>
    </w:rPr>
  </w:style>
  <w:style w:type="paragraph" w:styleId="CommentSubject">
    <w:name w:val="annotation subject"/>
    <w:basedOn w:val="Normal"/>
    <w:next w:val="Normal"/>
    <w:link w:val="CommentSubjectChar"/>
    <w:uiPriority w:val="99"/>
    <w:semiHidden/>
    <w:unhideWhenUsed/>
    <w:rsid w:val="00F741A5"/>
    <w:rPr>
      <w:b/>
      <w:bCs/>
      <w:sz w:val="20"/>
      <w:szCs w:val="20"/>
    </w:rPr>
  </w:style>
  <w:style w:type="character" w:customStyle="1" w:styleId="CommentSubjectChar">
    <w:name w:val="Comment Subject Char"/>
    <w:basedOn w:val="DefaultParagraphFont"/>
    <w:link w:val="CommentSubject"/>
    <w:uiPriority w:val="99"/>
    <w:semiHidden/>
    <w:rsid w:val="00F741A5"/>
    <w:rPr>
      <w:rFonts w:ascii="Arial" w:hAnsi="Arial" w:cs="Century Gothic"/>
      <w:b/>
      <w:bCs/>
      <w:kern w:val="0"/>
      <w:sz w:val="20"/>
      <w:szCs w:val="20"/>
      <w:lang w:eastAsia="en-AU" w:bidi="en-AU"/>
      <w14:ligatures w14:val="none"/>
    </w:rPr>
  </w:style>
  <w:style w:type="paragraph" w:styleId="ListParagraph">
    <w:name w:val="List Paragraph"/>
    <w:basedOn w:val="Normal"/>
    <w:uiPriority w:val="34"/>
    <w:qFormat/>
    <w:rsid w:val="00E1471F"/>
    <w:pPr>
      <w:ind w:left="720"/>
      <w:contextualSpacing/>
    </w:pPr>
  </w:style>
  <w:style w:type="paragraph" w:customStyle="1" w:styleId="Bulletlist">
    <w:name w:val="Bullet list"/>
    <w:basedOn w:val="ListParagraph"/>
    <w:uiPriority w:val="3"/>
    <w:rsid w:val="00E1471F"/>
    <w:pPr>
      <w:numPr>
        <w:numId w:val="1"/>
      </w:numPr>
    </w:pPr>
  </w:style>
  <w:style w:type="character" w:customStyle="1" w:styleId="Heading4Char">
    <w:name w:val="Heading 4 Char"/>
    <w:basedOn w:val="DefaultParagraphFont"/>
    <w:link w:val="Heading4"/>
    <w:uiPriority w:val="1"/>
    <w:rsid w:val="00F741A5"/>
    <w:rPr>
      <w:rFonts w:ascii="Arial" w:hAnsi="Arial" w:cs="Century Gothic"/>
      <w:b/>
      <w:iCs/>
      <w:kern w:val="0"/>
      <w:sz w:val="26"/>
      <w:lang w:eastAsia="en-AU" w:bidi="en-AU"/>
      <w14:ligatures w14:val="none"/>
    </w:rPr>
  </w:style>
  <w:style w:type="paragraph" w:customStyle="1" w:styleId="Tableheader">
    <w:name w:val="Table header"/>
    <w:basedOn w:val="Normal"/>
    <w:uiPriority w:val="2"/>
    <w:rsid w:val="00DE17C1"/>
    <w:pPr>
      <w:widowControl/>
      <w:autoSpaceDE/>
      <w:autoSpaceDN/>
      <w:spacing w:before="60" w:after="60" w:line="240" w:lineRule="auto"/>
      <w:ind w:left="113"/>
    </w:pPr>
    <w:rPr>
      <w:rFonts w:eastAsia="Times New Roman" w:cs="Times New Roman"/>
      <w:b/>
      <w:sz w:val="22"/>
      <w:szCs w:val="20"/>
      <w:lang w:bidi="ar-SA"/>
    </w:rPr>
  </w:style>
  <w:style w:type="paragraph" w:customStyle="1" w:styleId="Tabletext">
    <w:name w:val="Table text"/>
    <w:uiPriority w:val="2"/>
    <w:rsid w:val="00DE17C1"/>
    <w:pPr>
      <w:spacing w:before="60" w:after="60" w:line="240" w:lineRule="auto"/>
    </w:pPr>
    <w:rPr>
      <w:rFonts w:ascii="Arial" w:eastAsia="Times New Roman" w:hAnsi="Arial" w:cs="Times New Roman"/>
      <w:color w:val="538135" w:themeColor="accent6" w:themeShade="BF"/>
      <w:kern w:val="0"/>
      <w:szCs w:val="20"/>
      <w:lang w:eastAsia="en-AU"/>
      <w14:ligatures w14:val="none"/>
    </w:rPr>
  </w:style>
  <w:style w:type="character" w:customStyle="1" w:styleId="Heading5Char">
    <w:name w:val="Heading 5 Char"/>
    <w:basedOn w:val="DefaultParagraphFont"/>
    <w:link w:val="Heading5"/>
    <w:uiPriority w:val="1"/>
    <w:rsid w:val="00F741A5"/>
    <w:rPr>
      <w:rFonts w:ascii="Arial" w:eastAsiaTheme="majorEastAsia" w:hAnsi="Arial" w:cstheme="majorBidi"/>
      <w:b/>
      <w:kern w:val="0"/>
      <w:sz w:val="24"/>
      <w:lang w:eastAsia="en-AU" w:bidi="en-AU"/>
      <w14:ligatures w14:val="none"/>
    </w:rPr>
  </w:style>
  <w:style w:type="character" w:customStyle="1" w:styleId="Heading6Char">
    <w:name w:val="Heading 6 Char"/>
    <w:basedOn w:val="DefaultParagraphFont"/>
    <w:link w:val="Heading6"/>
    <w:uiPriority w:val="1"/>
    <w:rsid w:val="00F741A5"/>
    <w:rPr>
      <w:rFonts w:ascii="Arial" w:eastAsiaTheme="majorEastAsia" w:hAnsi="Arial" w:cstheme="majorBidi"/>
      <w:b/>
      <w:i/>
      <w:kern w:val="0"/>
      <w:sz w:val="24"/>
      <w:lang w:eastAsia="en-AU" w:bidi="en-AU"/>
      <w14:ligatures w14:val="none"/>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s="Century Gothic"/>
      <w:kern w:val="0"/>
      <w:sz w:val="20"/>
      <w:szCs w:val="20"/>
      <w:lang w:eastAsia="en-AU" w:bidi="en-AU"/>
      <w14:ligatures w14:val="none"/>
    </w:rPr>
  </w:style>
  <w:style w:type="paragraph" w:styleId="Revision">
    <w:name w:val="Revision"/>
    <w:hidden/>
    <w:uiPriority w:val="99"/>
    <w:semiHidden/>
    <w:rsid w:val="005E5634"/>
    <w:pPr>
      <w:spacing w:after="0" w:line="240" w:lineRule="auto"/>
    </w:pPr>
    <w:rPr>
      <w:rFonts w:ascii="Arial" w:hAnsi="Arial" w:cs="Century Gothic"/>
      <w:kern w:val="0"/>
      <w:sz w:val="24"/>
      <w:lang w:eastAsia="en-AU" w:bidi="en-AU"/>
      <w14:ligatures w14:val="none"/>
    </w:rPr>
  </w:style>
  <w:style w:type="paragraph" w:styleId="Header">
    <w:name w:val="header"/>
    <w:basedOn w:val="Normal"/>
    <w:link w:val="HeaderChar"/>
    <w:uiPriority w:val="99"/>
    <w:unhideWhenUsed/>
    <w:rsid w:val="00A46FE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A46FEF"/>
    <w:rPr>
      <w:rFonts w:ascii="Arial" w:hAnsi="Arial" w:cs="Century Gothic"/>
      <w:kern w:val="0"/>
      <w:sz w:val="24"/>
      <w:lang w:eastAsia="en-AU" w:bidi="en-AU"/>
      <w14:ligatures w14:val="none"/>
    </w:rPr>
  </w:style>
  <w:style w:type="paragraph" w:styleId="Footer">
    <w:name w:val="footer"/>
    <w:basedOn w:val="Normal"/>
    <w:link w:val="FooterChar"/>
    <w:uiPriority w:val="99"/>
    <w:unhideWhenUsed/>
    <w:rsid w:val="00A46FE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A46FEF"/>
    <w:rPr>
      <w:rFonts w:ascii="Arial" w:hAnsi="Arial" w:cs="Century Gothic"/>
      <w:kern w:val="0"/>
      <w:sz w:val="24"/>
      <w:lang w:eastAsia="en-AU" w:bidi="en-AU"/>
      <w14:ligatures w14:val="none"/>
    </w:rPr>
  </w:style>
  <w:style w:type="paragraph" w:customStyle="1" w:styleId="Bullet1">
    <w:name w:val="Bullet 1"/>
    <w:basedOn w:val="Normal"/>
    <w:uiPriority w:val="99"/>
    <w:rsid w:val="0061117E"/>
    <w:pPr>
      <w:widowControl/>
      <w:numPr>
        <w:numId w:val="3"/>
      </w:numPr>
      <w:suppressAutoHyphens/>
      <w:adjustRightInd w:val="0"/>
      <w:spacing w:before="0" w:after="200" w:line="240" w:lineRule="auto"/>
    </w:pPr>
    <w:rPr>
      <w:rFonts w:eastAsia="Times New Roman" w:cs="Arial"/>
      <w:color w:val="000000"/>
      <w:sz w:val="20"/>
      <w:szCs w:val="20"/>
      <w:lang w:val="en-GB" w:bidi="ar-SA"/>
    </w:rPr>
  </w:style>
  <w:style w:type="paragraph" w:styleId="List2">
    <w:name w:val="List 2"/>
    <w:basedOn w:val="Normal"/>
    <w:rsid w:val="00BB6623"/>
    <w:pPr>
      <w:widowControl/>
      <w:tabs>
        <w:tab w:val="num" w:pos="1440"/>
      </w:tabs>
      <w:autoSpaceDE/>
      <w:autoSpaceDN/>
      <w:spacing w:after="0" w:line="240" w:lineRule="auto"/>
      <w:ind w:left="1440" w:hanging="360"/>
      <w:jc w:val="both"/>
    </w:pPr>
    <w:rPr>
      <w:rFonts w:ascii="Times" w:eastAsia="Times New Roman" w:hAnsi="Times" w:cs="Times New Roman"/>
      <w:szCs w:val="20"/>
      <w:lang w:bidi="ar-SA"/>
    </w:rPr>
  </w:style>
  <w:style w:type="paragraph" w:customStyle="1" w:styleId="Tablelabel">
    <w:name w:val="Table label"/>
    <w:basedOn w:val="Normal"/>
    <w:rsid w:val="00BB6623"/>
    <w:pPr>
      <w:widowControl/>
      <w:autoSpaceDE/>
      <w:autoSpaceDN/>
      <w:spacing w:after="80" w:line="240" w:lineRule="auto"/>
      <w:ind w:left="113"/>
    </w:pPr>
    <w:rPr>
      <w:rFonts w:eastAsia="Times New Roman" w:cs="Times New Roman"/>
      <w:b/>
      <w:color w:val="FFFFFF"/>
      <w:sz w:val="18"/>
      <w:szCs w:val="20"/>
      <w:lang w:bidi="ar-SA"/>
    </w:rPr>
  </w:style>
  <w:style w:type="paragraph" w:styleId="NormalWeb">
    <w:name w:val="Normal (Web)"/>
    <w:basedOn w:val="Normal"/>
    <w:uiPriority w:val="99"/>
    <w:unhideWhenUsed/>
    <w:rsid w:val="00AE5AE2"/>
    <w:pPr>
      <w:widowControl/>
      <w:autoSpaceDE/>
      <w:autoSpaceDN/>
      <w:spacing w:before="100" w:beforeAutospacing="1" w:after="100" w:afterAutospacing="1" w:line="240" w:lineRule="auto"/>
    </w:pPr>
    <w:rPr>
      <w:rFonts w:ascii="Times New Roman" w:eastAsiaTheme="minorEastAsia" w:hAnsi="Times New Roman" w:cs="Times New Roman"/>
      <w:szCs w:val="24"/>
      <w:lang w:bidi="ar-SA"/>
      <w14:ligatures w14:val="standardContextual"/>
    </w:rPr>
  </w:style>
  <w:style w:type="paragraph" w:customStyle="1" w:styleId="xmsonormal">
    <w:name w:val="x_msonormal"/>
    <w:basedOn w:val="Normal"/>
    <w:rsid w:val="00F64A04"/>
    <w:pPr>
      <w:widowControl/>
      <w:autoSpaceDE/>
      <w:autoSpaceDN/>
      <w:spacing w:before="100" w:beforeAutospacing="1" w:after="100" w:afterAutospacing="1" w:line="240" w:lineRule="auto"/>
    </w:pPr>
    <w:rPr>
      <w:rFonts w:ascii="Times New Roman" w:eastAsia="Times New Roman" w:hAnsi="Times New Roman" w:cs="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bendigo.vic.gov.au/building-and-business/planning/planning-scheme-amendments" TargetMode="External"/><Relationship Id="rId18" Type="http://schemas.openxmlformats.org/officeDocument/2006/relationships/hyperlink" Target="https://www.bendigo.vic.gov.au/sites/default/files/2020-04/20200506%20Council%20Agenda%206%20May%202020.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mailto:strategic.planning@bendigo.vic.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www.planning.vic.gov.au/public-inspection" TargetMode="Externa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trategic.planning@bendigo.vic.gov.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85\AppData\Local\Microsoft\Windows\INetCache\Content.Outlook\OHOGD967\Explanatory%20Report%20-%20Boroondara%20accessible%20version%20-%202023-09-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797aeec6-0273-40f2-ab3e-beee73212332" ContentTypeId="0x0101" PreviousValue="false"/>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E13C8FF7309EBD42B2C8D32A463522E2" ma:contentTypeVersion="37" ma:contentTypeDescription="Create a new document." ma:contentTypeScope="" ma:versionID="3af9b3bb1c83aad7133fb08543afbc16">
  <xsd:schema xmlns:xsd="http://www.w3.org/2001/XMLSchema" xmlns:xs="http://www.w3.org/2001/XMLSchema" xmlns:p="http://schemas.microsoft.com/office/2006/metadata/properties" xmlns:ns2="a5f32de4-e402-4188-b034-e71ca7d22e54" xmlns:ns3="4bd58b96-cc7f-4c1b-801f-2bc3c6bd79dd" xmlns:ns4="9f250a92-4cb3-4475-b8ab-fbe3dd1bbf75" xmlns:ns5="9fd47c19-1c4a-4d7d-b342-c10cef269344" targetNamespace="http://schemas.microsoft.com/office/2006/metadata/properties" ma:root="true" ma:fieldsID="1397f79d2680dcb3156f5c8e631215c4" ns2:_="" ns3:_="" ns4:_="" ns5:_="">
    <xsd:import namespace="a5f32de4-e402-4188-b034-e71ca7d22e54"/>
    <xsd:import namespace="4bd58b96-cc7f-4c1b-801f-2bc3c6bd79dd"/>
    <xsd:import namespace="9f250a92-4cb3-4475-b8ab-fbe3dd1bbf75"/>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Classification" minOccurs="0"/>
                <xsd:element ref="ns4:SharedWithUsers" minOccurs="0"/>
                <xsd:element ref="ns4:SharedWithDetails"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3:_Flow_SignoffStatus" minOccurs="0"/>
                <xsd:element ref="ns3:lcf76f155ced4ddcb4097134ff3c332f" minOccurs="0"/>
                <xsd:element ref="ns5:TaxCatchAll" minOccurs="0"/>
                <xsd:element ref="ns3:MediaLengthInSeconds" minOccurs="0"/>
                <xsd:element ref="ns3:Category" minOccurs="0"/>
                <xsd:element ref="ns3:Uploadedby" minOccurs="0"/>
                <xsd:element ref="ns3:AmendmentStatus" minOccurs="0"/>
                <xsd:element ref="ns3:MediaServiceObjectDetectorVersions" minOccurs="0"/>
                <xsd:element ref="ns3:DocumentStatus" minOccurs="0"/>
                <xsd:element ref="ns3:MediaServiceSearchProperties" minOccurs="0"/>
                <xsd:element ref="ns3:AppHub"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bd58b96-cc7f-4c1b-801f-2bc3c6bd79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Classification" ma:index="15" nillable="true" ma:displayName="Classification" ma:list="{5132af1a-d0a0-4524-926b-2351b7b1ccb3}" ma:internalName="Classification" ma:showField="Title">
      <xsd:simpleType>
        <xsd:restriction base="dms:Lookup"/>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LengthInSeconds" ma:index="28" nillable="true" ma:displayName="MediaLengthInSeconds" ma:hidden="true" ma:internalName="MediaLengthInSeconds" ma:readOnly="true">
      <xsd:simpleType>
        <xsd:restriction base="dms:Unknown"/>
      </xsd:simpleType>
    </xsd:element>
    <xsd:element name="Category" ma:index="29" nillable="true" ma:displayName="Category" ma:internalName="Category">
      <xsd:simpleType>
        <xsd:restriction base="dms:Text"/>
      </xsd:simpleType>
    </xsd:element>
    <xsd:element name="Uploadedby" ma:index="30" nillable="true" ma:displayName="Uploaded by" ma:internalName="Uploaded_x0020_by">
      <xsd:simpleType>
        <xsd:restriction base="dms:Text"/>
      </xsd:simpleType>
    </xsd:element>
    <xsd:element name="AmendmentStatus" ma:index="31" nillable="true" ma:displayName="Amendment Status" ma:internalName="Amendment_x0020_Status">
      <xsd:simpleType>
        <xsd:restriction base="dms:Text"/>
      </xsd:simple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DocumentStatus" ma:index="33" nillable="true" ma:displayName="Document status" ma:list="{54465591-6100-4ef3-a3ba-50937698c9ce}" ma:internalName="DocumentStatus" ma:readOnly="false" ma:showField="Title">
      <xsd:simpleType>
        <xsd:restriction base="dms:Lookup"/>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AppHub" ma:index="35" nillable="true" ma:displayName="AppHub" ma:default="0" ma:description="Is visible on AppHub Y/N" ma:internalName="AppHub">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250a92-4cb3-4475-b8ab-fbe3dd1bbf7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7" nillable="true" ma:displayName="Taxonomy Catch All Column" ma:hidden="true" ma:list="{3aebf18f-e578-4598-b771-5b12d11488eb}" ma:internalName="TaxCatchAll" ma:showField="CatchAllData" ma:web="3348b8bb-97b8-4ba1-80ab-30fbf4669d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fd47c19-1c4a-4d7d-b342-c10cef269344" xsi:nil="true"/>
    <SharedWithUsers xmlns="9f250a92-4cb3-4475-b8ab-fbe3dd1bbf75">
      <UserInfo>
        <DisplayName>Enrico LoBianco (DEECA)</DisplayName>
        <AccountId>943</AccountId>
        <AccountType/>
      </UserInfo>
      <UserInfo>
        <DisplayName>Letitia J Neilson (DEECA)</DisplayName>
        <AccountId>1523</AccountId>
        <AccountType/>
      </UserInfo>
      <UserInfo>
        <DisplayName>Evangelia Moustogiannis (DEECA)</DisplayName>
        <AccountId>1217</AccountId>
        <AccountType/>
      </UserInfo>
    </SharedWithUsers>
    <lcf76f155ced4ddcb4097134ff3c332f xmlns="4bd58b96-cc7f-4c1b-801f-2bc3c6bd79dd">
      <Terms xmlns="http://schemas.microsoft.com/office/infopath/2007/PartnerControls"/>
    </lcf76f155ced4ddcb4097134ff3c332f>
    <Uploadedby xmlns="4bd58b96-cc7f-4c1b-801f-2bc3c6bd79dd">Wonona Fuzzard</Uploadedby>
    <AppHub xmlns="4bd58b96-cc7f-4c1b-801f-2bc3c6bd79dd">true</AppHub>
    <_Flow_SignoffStatus xmlns="4bd58b96-cc7f-4c1b-801f-2bc3c6bd79dd" xsi:nil="true"/>
    <AmendmentStatus xmlns="4bd58b96-cc7f-4c1b-801f-2bc3c6bd79dd">Authorised</AmendmentStatus>
    <Classification xmlns="4bd58b96-cc7f-4c1b-801f-2bc3c6bd79dd">2</Classification>
    <DocumentStatus xmlns="4bd58b96-cc7f-4c1b-801f-2bc3c6bd79dd">2</DocumentStatus>
    <Category xmlns="4bd58b96-cc7f-4c1b-801f-2bc3c6bd79dd"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42D10-AE2E-4B4F-9411-683D16BC154D}">
  <ds:schemaRefs>
    <ds:schemaRef ds:uri="Microsoft.SharePoint.Taxonomy.ContentTypeSync"/>
  </ds:schemaRefs>
</ds:datastoreItem>
</file>

<file path=customXml/itemProps2.xml><?xml version="1.0" encoding="utf-8"?>
<ds:datastoreItem xmlns:ds="http://schemas.openxmlformats.org/officeDocument/2006/customXml" ds:itemID="{14989D2D-5FE5-4F2D-B0AD-FB2D7E1A00F3}">
  <ds:schemaRefs>
    <ds:schemaRef ds:uri="http://schemas.microsoft.com/sharepoint/events"/>
  </ds:schemaRefs>
</ds:datastoreItem>
</file>

<file path=customXml/itemProps3.xml><?xml version="1.0" encoding="utf-8"?>
<ds:datastoreItem xmlns:ds="http://schemas.openxmlformats.org/officeDocument/2006/customXml" ds:itemID="{92A8D42C-F325-4487-AAB9-DFA9BE1E6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bd58b96-cc7f-4c1b-801f-2bc3c6bd79dd"/>
    <ds:schemaRef ds:uri="9f250a92-4cb3-4475-b8ab-fbe3dd1bbf75"/>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A22ABE-62C8-4BB1-BCA5-890E26F27FC1}">
  <ds:schemaRefs>
    <ds:schemaRef ds:uri="http://schemas.microsoft.com/sharepoint/v3/contenttype/forms"/>
  </ds:schemaRefs>
</ds:datastoreItem>
</file>

<file path=customXml/itemProps5.xml><?xml version="1.0" encoding="utf-8"?>
<ds:datastoreItem xmlns:ds="http://schemas.openxmlformats.org/officeDocument/2006/customXml" ds:itemID="{7018DBC6-2EFE-4C7A-9F70-61EAA1B07713}">
  <ds:schemaRefs>
    <ds:schemaRef ds:uri="http://schemas.microsoft.com/office/2006/metadata/properties"/>
    <ds:schemaRef ds:uri="http://schemas.microsoft.com/office/infopath/2007/PartnerControls"/>
    <ds:schemaRef ds:uri="9fd47c19-1c4a-4d7d-b342-c10cef269344"/>
    <ds:schemaRef ds:uri="9f250a92-4cb3-4475-b8ab-fbe3dd1bbf75"/>
    <ds:schemaRef ds:uri="4bd58b96-cc7f-4c1b-801f-2bc3c6bd79dd"/>
  </ds:schemaRefs>
</ds:datastoreItem>
</file>

<file path=customXml/itemProps6.xml><?xml version="1.0" encoding="utf-8"?>
<ds:datastoreItem xmlns:ds="http://schemas.openxmlformats.org/officeDocument/2006/customXml" ds:itemID="{987F0F29-1139-4250-B50D-0848B957D569}">
  <ds:schemaRefs>
    <ds:schemaRef ds:uri="http://schemas.openxmlformats.org/officeDocument/2006/bibliography"/>
  </ds:schemaRefs>
</ds:datastoreItem>
</file>

<file path=docMetadata/LabelInfo.xml><?xml version="1.0" encoding="utf-8"?>
<clbl:labelList xmlns:clbl="http://schemas.microsoft.com/office/2020/mipLabelMetadata">
  <clbl:label id="{906fd932-e23a-4c56-b72d-cd1ac85ce494}" enabled="1" method="Privileged" siteId="{5094c7a7-0748-466e-941e-72882c3097ba}" removed="0"/>
</clbl:labelList>
</file>

<file path=docProps/app.xml><?xml version="1.0" encoding="utf-8"?>
<Properties xmlns="http://schemas.openxmlformats.org/officeDocument/2006/extended-properties" xmlns:vt="http://schemas.openxmlformats.org/officeDocument/2006/docPropsVTypes">
  <Template>Explanatory Report - Boroondara accessible version - 2023-09-14.dotx</Template>
  <TotalTime>78</TotalTime>
  <Pages>22</Pages>
  <Words>7824</Words>
  <Characters>44600</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Explanatory Report</vt:lpstr>
    </vt:vector>
  </TitlesOfParts>
  <Company/>
  <LinksUpToDate>false</LinksUpToDate>
  <CharactersWithSpaces>52320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Explanatory Report</dc:title>
  <dc:subject/>
  <dc:creator>Evangelia Moustogiannis (DELWP)</dc:creator>
  <cp:keywords/>
  <dc:description/>
  <cp:lastModifiedBy>Matthew Cameron (DTP)</cp:lastModifiedBy>
  <cp:revision>8</cp:revision>
  <cp:lastPrinted>2026-05-24T22:50:00Z</cp:lastPrinted>
  <dcterms:created xsi:type="dcterms:W3CDTF">2026-05-25T00:30:00Z</dcterms:created>
  <dcterms:modified xsi:type="dcterms:W3CDTF">2026-06-04T05:58:00Z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0x010100E13C8FF7309EBD42B2C8D32A463522E2</vt:lpwstr>
  </property>
  <property fmtid="{D5CDD505-2E9C-101B-9397-08002B2CF9AE}" pid="3" name="Records Class Project">
    <vt:lpwstr>49;#Reference Materials|f95fc07f-4085-41de-ae1e-da9e571af2f5</vt:lpwstr>
  </property>
  <property fmtid="{D5CDD505-2E9C-101B-9397-08002B2CF9AE}" pid="4" name="Department Document Type">
    <vt:lpwstr>54;#Instruction|bd959bd7-f47f-4272-85c0-fe4839e53559</vt:lpwstr>
  </property>
  <property fmtid="{D5CDD505-2E9C-101B-9397-08002B2CF9AE}" pid="5" name="Dissemination Limiting Marker">
    <vt:lpwstr>2;#FOUO|955eb6fc-b35a-4808-8aa5-31e514fa3f26</vt:lpwstr>
  </property>
  <property fmtid="{D5CDD505-2E9C-101B-9397-08002B2CF9AE}" pid="6" name="Security Classification">
    <vt:lpwstr>3;#Unclassified|7fa379f4-4aba-4692-ab80-7d39d3a23cf4</vt:lpwstr>
  </property>
  <property fmtid="{D5CDD505-2E9C-101B-9397-08002B2CF9AE}" pid="7" name="Record Purpose">
    <vt:lpwstr/>
  </property>
  <property fmtid="{D5CDD505-2E9C-101B-9397-08002B2CF9AE}" pid="8" name="_dlc_DocIdItemGuid">
    <vt:lpwstr>bc908136-1501-43fb-974d-d73ead64f662</vt:lpwstr>
  </property>
  <property fmtid="{D5CDD505-2E9C-101B-9397-08002B2CF9AE}" pid="9" name="Order">
    <vt:r8>31800</vt:r8>
  </property>
  <property fmtid="{D5CDD505-2E9C-101B-9397-08002B2CF9AE}" pid="10" name="MSIP_Label_b92b7feb-b287-442c-a072-f385b02ec972_Enabled">
    <vt:lpwstr>true</vt:lpwstr>
  </property>
  <property fmtid="{D5CDD505-2E9C-101B-9397-08002B2CF9AE}" pid="11" name="MSIP_Label_b92b7feb-b287-442c-a072-f385b02ec972_SetDate">
    <vt:lpwstr>2023-10-30T00:36:12Z</vt:lpwstr>
  </property>
  <property fmtid="{D5CDD505-2E9C-101B-9397-08002B2CF9AE}" pid="12" name="MSIP_Label_b92b7feb-b287-442c-a072-f385b02ec972_Method">
    <vt:lpwstr>Privileged</vt:lpwstr>
  </property>
  <property fmtid="{D5CDD505-2E9C-101B-9397-08002B2CF9AE}" pid="13" name="MSIP_Label_b92b7feb-b287-442c-a072-f385b02ec972_Name">
    <vt:lpwstr>Unofficial</vt:lpwstr>
  </property>
  <property fmtid="{D5CDD505-2E9C-101B-9397-08002B2CF9AE}" pid="14" name="MSIP_Label_b92b7feb-b287-442c-a072-f385b02ec972_SiteId">
    <vt:lpwstr>e8bdd6f7-fc18-4e48-a554-7f547927223b</vt:lpwstr>
  </property>
  <property fmtid="{D5CDD505-2E9C-101B-9397-08002B2CF9AE}" pid="15" name="MSIP_Label_b92b7feb-b287-442c-a072-f385b02ec972_ActionId">
    <vt:lpwstr>581aa655-7e21-4b0e-9caa-f5d04496c3d9</vt:lpwstr>
  </property>
  <property fmtid="{D5CDD505-2E9C-101B-9397-08002B2CF9AE}" pid="16" name="MSIP_Label_b92b7feb-b287-442c-a072-f385b02ec972_ContentBits">
    <vt:lpwstr>2</vt:lpwstr>
  </property>
  <property fmtid="{D5CDD505-2E9C-101B-9397-08002B2CF9AE}" pid="17" name="MediaServiceImageTags">
    <vt:lpwstr/>
  </property>
</Properties>
</file>